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5080" w:rsidRDefault="00F10323">
      <w:pPr>
        <w:pStyle w:val="Style1"/>
        <w:widowControl/>
        <w:rPr>
          <w:rStyle w:val="FontStyle72"/>
        </w:rPr>
      </w:pPr>
      <w:r>
        <w:rPr>
          <w:rStyle w:val="FontStyle72"/>
        </w:rPr>
        <w:t xml:space="preserve">Федеральное государственное образовательное бюджетное учреждение </w:t>
      </w:r>
    </w:p>
    <w:p w:rsidR="00BA5080" w:rsidRDefault="00F10323">
      <w:pPr>
        <w:pStyle w:val="Style1"/>
        <w:widowControl/>
        <w:rPr>
          <w:rStyle w:val="FontStyle72"/>
        </w:rPr>
      </w:pPr>
      <w:r>
        <w:rPr>
          <w:rStyle w:val="FontStyle72"/>
        </w:rPr>
        <w:t>высшего образования</w:t>
      </w:r>
    </w:p>
    <w:p w:rsidR="00BA5080" w:rsidRDefault="00F10323">
      <w:pPr>
        <w:pStyle w:val="Style1"/>
        <w:widowControl/>
        <w:spacing w:before="67"/>
        <w:ind w:left="686"/>
        <w:rPr>
          <w:rStyle w:val="FontStyle72"/>
          <w:sz w:val="28"/>
          <w:szCs w:val="28"/>
        </w:rPr>
      </w:pPr>
      <w:r>
        <w:rPr>
          <w:rStyle w:val="FontStyle72"/>
          <w:sz w:val="28"/>
          <w:szCs w:val="28"/>
        </w:rPr>
        <w:t xml:space="preserve"> «ФИНАНСОВЫЙ УНИВЕРСИТЕТ ПРИ ПРАВИТЕЛЬСТВЕ РОССИЙСКОЙ ФЕДЕРАЦИИ» </w:t>
      </w:r>
    </w:p>
    <w:p w:rsidR="00BA5080" w:rsidRDefault="00F10323">
      <w:pPr>
        <w:pStyle w:val="Style1"/>
        <w:widowControl/>
        <w:spacing w:before="67"/>
        <w:ind w:left="686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(Финансовый университет)</w:t>
      </w:r>
    </w:p>
    <w:p w:rsidR="00BA5080" w:rsidRDefault="00F10323">
      <w:pPr>
        <w:pStyle w:val="Style8"/>
        <w:widowControl/>
        <w:spacing w:before="101"/>
        <w:jc w:val="center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Кафедра банковского дела и монетарного регулирования</w:t>
      </w:r>
    </w:p>
    <w:p w:rsidR="00BA5080" w:rsidRDefault="00F10323">
      <w:pPr>
        <w:pStyle w:val="Style8"/>
        <w:widowControl/>
        <w:spacing w:before="101"/>
        <w:jc w:val="center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Финансового факультета</w:t>
      </w:r>
    </w:p>
    <w:p w:rsidR="00BA5080" w:rsidRDefault="00BA5080">
      <w:pPr>
        <w:jc w:val="right"/>
        <w:rPr>
          <w:rFonts w:eastAsia="Times New Roman"/>
          <w:sz w:val="28"/>
          <w:szCs w:val="28"/>
        </w:rPr>
      </w:pPr>
    </w:p>
    <w:tbl>
      <w:tblPr>
        <w:tblW w:w="903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4836"/>
        <w:gridCol w:w="4194"/>
      </w:tblGrid>
      <w:tr w:rsidR="00BA5080">
        <w:trPr>
          <w:trHeight w:val="3189"/>
        </w:trPr>
        <w:tc>
          <w:tcPr>
            <w:tcW w:w="4835" w:type="dxa"/>
          </w:tcPr>
          <w:p w:rsidR="00BA5080" w:rsidRDefault="00F10323">
            <w:pPr>
              <w:rPr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 xml:space="preserve">       </w:t>
            </w:r>
            <w:r>
              <w:rPr>
                <w:sz w:val="28"/>
                <w:szCs w:val="28"/>
              </w:rPr>
              <w:t>СОГЛАСОВАНО</w:t>
            </w:r>
          </w:p>
          <w:p w:rsidR="00BA5080" w:rsidRDefault="00BA5080">
            <w:pPr>
              <w:rPr>
                <w:sz w:val="28"/>
                <w:szCs w:val="28"/>
              </w:rPr>
            </w:pPr>
          </w:p>
          <w:p w:rsidR="00BA5080" w:rsidRDefault="00F10323">
            <w:pPr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ООО «НКР»</w:t>
            </w:r>
          </w:p>
          <w:p w:rsidR="00BA5080" w:rsidRDefault="00F1032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>
              <w:t>наименование организации</w:t>
            </w:r>
            <w:r>
              <w:rPr>
                <w:sz w:val="28"/>
                <w:szCs w:val="28"/>
              </w:rPr>
              <w:t>)</w:t>
            </w:r>
          </w:p>
          <w:p w:rsidR="00BA5080" w:rsidRDefault="00F1032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Управляющий директор по методологии</w:t>
            </w:r>
          </w:p>
          <w:p w:rsidR="00BA5080" w:rsidRDefault="00F10323">
            <w:r>
              <w:t>(должность представителя работодателя)</w:t>
            </w:r>
          </w:p>
          <w:p w:rsidR="00BA5080" w:rsidRDefault="00BA5080">
            <w:pPr>
              <w:rPr>
                <w:sz w:val="28"/>
                <w:szCs w:val="28"/>
              </w:rPr>
            </w:pPr>
          </w:p>
          <w:p w:rsidR="00BA5080" w:rsidRDefault="00F1032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 С.А. Волков</w:t>
            </w:r>
          </w:p>
          <w:p w:rsidR="00BA5080" w:rsidRDefault="00F10323">
            <w:r>
              <w:rPr>
                <w:sz w:val="28"/>
                <w:szCs w:val="28"/>
              </w:rPr>
              <w:t>(</w:t>
            </w:r>
            <w:r>
              <w:t>подпись представителя работодателя)</w:t>
            </w:r>
          </w:p>
          <w:p w:rsidR="00BA5080" w:rsidRDefault="00BA5080">
            <w:pPr>
              <w:rPr>
                <w:sz w:val="28"/>
                <w:szCs w:val="28"/>
              </w:rPr>
            </w:pPr>
          </w:p>
          <w:p w:rsidR="00BA5080" w:rsidRDefault="00855F1C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>«22» ноября</w:t>
            </w:r>
            <w:r w:rsidR="00F10323">
              <w:rPr>
                <w:sz w:val="28"/>
                <w:szCs w:val="28"/>
              </w:rPr>
              <w:t xml:space="preserve"> 2024   г.</w:t>
            </w:r>
          </w:p>
        </w:tc>
        <w:tc>
          <w:tcPr>
            <w:tcW w:w="4194" w:type="dxa"/>
          </w:tcPr>
          <w:p w:rsidR="00BA5080" w:rsidRDefault="00F10323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rFonts w:eastAsia="Times New Roman"/>
                <w:caps/>
                <w:sz w:val="28"/>
                <w:szCs w:val="28"/>
              </w:rPr>
              <w:t>утверждаю</w:t>
            </w:r>
          </w:p>
          <w:p w:rsidR="00BA5080" w:rsidRDefault="00BA5080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</w:p>
          <w:p w:rsidR="00BA5080" w:rsidRDefault="00F10323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Проректор по учебной и методической работе</w:t>
            </w:r>
          </w:p>
          <w:p w:rsidR="00BA5080" w:rsidRDefault="00BA5080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BA5080" w:rsidRDefault="00F10323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____________ Е.А. Каменева</w:t>
            </w:r>
          </w:p>
          <w:p w:rsidR="00BA5080" w:rsidRDefault="00BA5080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BA5080" w:rsidRDefault="00855F1C">
            <w:pPr>
              <w:spacing w:line="276" w:lineRule="auto"/>
              <w:jc w:val="both"/>
              <w:rPr>
                <w:rFonts w:eastAsia="Times New Roman"/>
                <w:b/>
                <w:caps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 xml:space="preserve">«26» ноября </w:t>
            </w:r>
            <w:bookmarkStart w:id="0" w:name="_GoBack"/>
            <w:bookmarkEnd w:id="0"/>
            <w:r w:rsidR="00F10323">
              <w:rPr>
                <w:rFonts w:eastAsia="Times New Roman"/>
                <w:sz w:val="28"/>
                <w:szCs w:val="28"/>
              </w:rPr>
              <w:t>2024 г.</w:t>
            </w:r>
          </w:p>
        </w:tc>
      </w:tr>
    </w:tbl>
    <w:p w:rsidR="00BA5080" w:rsidRDefault="00BA5080">
      <w:pPr>
        <w:jc w:val="center"/>
        <w:rPr>
          <w:rFonts w:eastAsia="Times New Roman"/>
          <w:sz w:val="36"/>
          <w:szCs w:val="36"/>
        </w:rPr>
      </w:pPr>
    </w:p>
    <w:p w:rsidR="00BA5080" w:rsidRDefault="00F10323">
      <w:pPr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Ларионова И.В., Чичуленков Д.А.</w:t>
      </w:r>
    </w:p>
    <w:p w:rsidR="00BA5080" w:rsidRDefault="00BA5080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</w:p>
    <w:p w:rsidR="00BA5080" w:rsidRDefault="00F10323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Анализ и оценка финансового состояния и перспектив деятельности коммерческого банка</w:t>
      </w:r>
    </w:p>
    <w:p w:rsidR="00BA5080" w:rsidRDefault="00BA5080">
      <w:pPr>
        <w:jc w:val="center"/>
        <w:rPr>
          <w:rFonts w:eastAsia="Times New Roman"/>
          <w:sz w:val="20"/>
          <w:szCs w:val="20"/>
        </w:rPr>
      </w:pPr>
    </w:p>
    <w:p w:rsidR="00BA5080" w:rsidRDefault="00BA5080">
      <w:pPr>
        <w:jc w:val="center"/>
        <w:rPr>
          <w:rFonts w:eastAsia="Times New Roman"/>
          <w:sz w:val="20"/>
          <w:szCs w:val="20"/>
        </w:rPr>
      </w:pPr>
    </w:p>
    <w:p w:rsidR="00BA5080" w:rsidRDefault="00F10323">
      <w:pPr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Рабочая программа дисциплины</w:t>
      </w:r>
    </w:p>
    <w:p w:rsidR="00BA5080" w:rsidRDefault="00BA5080">
      <w:pPr>
        <w:jc w:val="center"/>
        <w:rPr>
          <w:rFonts w:eastAsia="Times New Roman"/>
          <w:b/>
          <w:sz w:val="28"/>
          <w:szCs w:val="28"/>
        </w:rPr>
      </w:pPr>
    </w:p>
    <w:p w:rsidR="00BA5080" w:rsidRDefault="00F10323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для студентов, обучающихся по направлению подготовки</w:t>
      </w:r>
    </w:p>
    <w:p w:rsidR="00BA5080" w:rsidRDefault="00F10323">
      <w:pPr>
        <w:spacing w:line="276" w:lineRule="auto"/>
        <w:jc w:val="center"/>
        <w:rPr>
          <w:rFonts w:eastAsia="Times New Roman"/>
        </w:rPr>
      </w:pPr>
      <w:r>
        <w:rPr>
          <w:rFonts w:eastAsia="Times New Roman"/>
          <w:sz w:val="28"/>
          <w:szCs w:val="28"/>
        </w:rPr>
        <w:t>38.04.08 – Финансы и кредит</w:t>
      </w:r>
    </w:p>
    <w:p w:rsidR="00BA5080" w:rsidRDefault="00F10323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Направленность программы магистратуры:</w:t>
      </w:r>
    </w:p>
    <w:p w:rsidR="00BA5080" w:rsidRDefault="00F10323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«Управление финансовыми рисками: прикладная аналитика и технологии в банках» </w:t>
      </w:r>
    </w:p>
    <w:p w:rsidR="00BA5080" w:rsidRDefault="00BA5080">
      <w:pPr>
        <w:spacing w:line="276" w:lineRule="auto"/>
        <w:jc w:val="center"/>
        <w:rPr>
          <w:rFonts w:eastAsia="Times New Roman"/>
          <w:i/>
        </w:rPr>
      </w:pPr>
    </w:p>
    <w:p w:rsidR="00BA5080" w:rsidRDefault="00F10323">
      <w:pPr>
        <w:jc w:val="center"/>
        <w:rPr>
          <w:iCs/>
          <w:sz w:val="22"/>
          <w:szCs w:val="22"/>
        </w:rPr>
      </w:pPr>
      <w:r>
        <w:rPr>
          <w:i/>
        </w:rPr>
        <w:t>Рекомендовано Ученым советом Финансового факультета</w:t>
      </w:r>
    </w:p>
    <w:p w:rsidR="00BA5080" w:rsidRDefault="00F10323">
      <w:pPr>
        <w:jc w:val="center"/>
        <w:rPr>
          <w:iCs/>
        </w:rPr>
      </w:pPr>
      <w:r>
        <w:rPr>
          <w:iCs/>
        </w:rPr>
        <w:t>(</w:t>
      </w:r>
      <w:r>
        <w:rPr>
          <w:i/>
        </w:rPr>
        <w:t xml:space="preserve">протокол </w:t>
      </w:r>
      <w:r w:rsidRPr="00943071">
        <w:rPr>
          <w:i/>
        </w:rPr>
        <w:t>№ 50</w:t>
      </w:r>
      <w:r>
        <w:rPr>
          <w:i/>
        </w:rPr>
        <w:t xml:space="preserve"> от «19» ноября 2024 г.</w:t>
      </w:r>
      <w:r>
        <w:rPr>
          <w:iCs/>
        </w:rPr>
        <w:t>)</w:t>
      </w:r>
    </w:p>
    <w:p w:rsidR="00BA5080" w:rsidRDefault="00BA5080">
      <w:pPr>
        <w:jc w:val="center"/>
        <w:rPr>
          <w:iCs/>
        </w:rPr>
      </w:pPr>
    </w:p>
    <w:p w:rsidR="00BA5080" w:rsidRDefault="00F10323">
      <w:pPr>
        <w:jc w:val="center"/>
        <w:rPr>
          <w:i/>
        </w:rPr>
      </w:pPr>
      <w:r>
        <w:rPr>
          <w:i/>
        </w:rPr>
        <w:t>Одобрено Кафедрой банковского дела и</w:t>
      </w:r>
    </w:p>
    <w:p w:rsidR="00BA5080" w:rsidRDefault="00F10323">
      <w:pPr>
        <w:jc w:val="center"/>
        <w:rPr>
          <w:i/>
        </w:rPr>
      </w:pPr>
      <w:r>
        <w:rPr>
          <w:i/>
        </w:rPr>
        <w:t>монетарного регулирования</w:t>
      </w:r>
    </w:p>
    <w:p w:rsidR="00BA5080" w:rsidRDefault="00F10323">
      <w:pPr>
        <w:jc w:val="center"/>
        <w:rPr>
          <w:i/>
        </w:rPr>
      </w:pPr>
      <w:r>
        <w:t xml:space="preserve">     </w:t>
      </w:r>
      <w:r w:rsidR="00FB3A23">
        <w:rPr>
          <w:i/>
        </w:rPr>
        <w:t>(протокол № 5</w:t>
      </w:r>
      <w:r>
        <w:rPr>
          <w:i/>
        </w:rPr>
        <w:t xml:space="preserve"> от «06» ноября 2024 г.)</w:t>
      </w:r>
    </w:p>
    <w:p w:rsidR="00BA5080" w:rsidRDefault="00BA5080">
      <w:pPr>
        <w:jc w:val="center"/>
        <w:rPr>
          <w:rFonts w:eastAsia="Times New Roman"/>
          <w:sz w:val="28"/>
          <w:szCs w:val="28"/>
        </w:rPr>
      </w:pPr>
    </w:p>
    <w:p w:rsidR="00BA5080" w:rsidRDefault="00F10323">
      <w:pPr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Москва – 2024 год</w:t>
      </w:r>
    </w:p>
    <w:p w:rsidR="00BA5080" w:rsidRDefault="00BA5080">
      <w:pPr>
        <w:jc w:val="both"/>
        <w:rPr>
          <w:color w:val="FF0000"/>
          <w:sz w:val="28"/>
          <w:szCs w:val="28"/>
        </w:rPr>
      </w:pPr>
    </w:p>
    <w:sdt>
      <w:sdtPr>
        <w:rPr>
          <w:rFonts w:eastAsiaTheme="minorEastAsia"/>
          <w:sz w:val="24"/>
          <w:szCs w:val="24"/>
        </w:rPr>
        <w:id w:val="1893931577"/>
        <w:docPartObj>
          <w:docPartGallery w:val="Table of Contents"/>
          <w:docPartUnique/>
        </w:docPartObj>
      </w:sdtPr>
      <w:sdtEndPr/>
      <w:sdtContent>
        <w:p w:rsidR="00BA5080" w:rsidRDefault="00F10323">
          <w:pPr>
            <w:pStyle w:val="afd"/>
            <w:jc w:val="center"/>
          </w:pPr>
          <w:r>
            <w:rPr>
              <w:sz w:val="28"/>
              <w:szCs w:val="28"/>
            </w:rPr>
            <w:t>СОДЕРЖАНИЕ</w:t>
          </w:r>
        </w:p>
        <w:p w:rsidR="00BA5080" w:rsidRDefault="00F10323">
          <w:pPr>
            <w:pStyle w:val="24"/>
            <w:tabs>
              <w:tab w:val="right" w:leader="dot" w:pos="9345"/>
            </w:tabs>
            <w:jc w:val="both"/>
          </w:pPr>
          <w:r>
            <w:fldChar w:fldCharType="begin"/>
          </w:r>
          <w:r>
            <w:rPr>
              <w:webHidden/>
            </w:rPr>
            <w:instrText>TOC \z \o "1-3" \u \h</w:instrText>
          </w:r>
          <w:r>
            <w:fldChar w:fldCharType="separate"/>
          </w:r>
          <w:hyperlink w:anchor="_Toc181559383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_Toc181559383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1. Наименование дисциплины</w:t>
            </w:r>
            <w:r>
              <w:rPr>
                <w:webHidden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84">
            <w:r w:rsidR="00F10323">
              <w:rPr>
                <w:webHidden/>
              </w:rPr>
              <w:fldChar w:fldCharType="begin"/>
            </w:r>
            <w:r w:rsidR="00F10323">
              <w:rPr>
                <w:webHidden/>
              </w:rPr>
              <w:instrText>PAGEREF _Toc181559384 \h</w:instrText>
            </w:r>
            <w:r w:rsidR="00F10323">
              <w:rPr>
                <w:webHidden/>
              </w:rPr>
            </w:r>
            <w:r w:rsidR="00F10323">
              <w:rPr>
                <w:webHidden/>
              </w:rPr>
              <w:fldChar w:fldCharType="separate"/>
            </w:r>
            <w:r w:rsidR="00F10323">
              <w:rPr>
                <w:webHidden/>
              </w:rPr>
              <w:t>2.Перечень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F10323">
              <w:rPr>
                <w:webHidden/>
              </w:rPr>
              <w:tab/>
              <w:t>3</w:t>
            </w:r>
            <w:r w:rsidR="00F10323">
              <w:rPr>
                <w:webHidden/>
              </w:rPr>
              <w:fldChar w:fldCharType="end"/>
            </w:r>
          </w:hyperlink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85">
            <w:r w:rsidR="00F10323">
              <w:rPr>
                <w:webHidden/>
              </w:rPr>
              <w:fldChar w:fldCharType="begin"/>
            </w:r>
            <w:r w:rsidR="00F10323">
              <w:rPr>
                <w:webHidden/>
              </w:rPr>
              <w:instrText>PAGEREF _Toc181559385 \h</w:instrText>
            </w:r>
            <w:r w:rsidR="00F10323">
              <w:rPr>
                <w:webHidden/>
              </w:rPr>
            </w:r>
            <w:r w:rsidR="00F10323">
              <w:rPr>
                <w:webHidden/>
              </w:rPr>
              <w:fldChar w:fldCharType="separate"/>
            </w:r>
            <w:r w:rsidR="00F10323">
              <w:rPr>
                <w:webHidden/>
              </w:rPr>
              <w:t>3. Место дисциплины в структуре образовательной программы</w:t>
            </w:r>
            <w:r w:rsidR="00F10323">
              <w:rPr>
                <w:webHidden/>
              </w:rPr>
              <w:tab/>
              <w:t>5</w:t>
            </w:r>
            <w:r w:rsidR="00F10323">
              <w:rPr>
                <w:webHidden/>
              </w:rPr>
              <w:fldChar w:fldCharType="end"/>
            </w:r>
          </w:hyperlink>
        </w:p>
        <w:p w:rsidR="00BA5080" w:rsidRDefault="00F10323">
          <w:pPr>
            <w:pStyle w:val="24"/>
            <w:tabs>
              <w:tab w:val="right" w:leader="dot" w:pos="9345"/>
            </w:tabs>
            <w:jc w:val="both"/>
          </w:pPr>
          <w:r>
    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обучающихся.............................................................5</w:t>
          </w:r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87">
            <w:r w:rsidR="00F10323">
              <w:rPr>
                <w:webHidden/>
              </w:rPr>
              <w:fldChar w:fldCharType="begin"/>
            </w:r>
            <w:r w:rsidR="00F10323">
              <w:rPr>
                <w:webHidden/>
              </w:rPr>
              <w:instrText>PAGEREF _Toc181559387 \h</w:instrText>
            </w:r>
            <w:r w:rsidR="00F10323">
              <w:rPr>
                <w:webHidden/>
              </w:rPr>
            </w:r>
            <w:r w:rsidR="00F10323">
              <w:rPr>
                <w:webHidden/>
              </w:rPr>
              <w:fldChar w:fldCharType="separate"/>
            </w:r>
            <w:r w:rsidR="00F10323">
              <w:rPr>
                <w:webHidden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F10323">
              <w:rPr>
                <w:webHidden/>
              </w:rPr>
              <w:tab/>
              <w:t>5</w:t>
            </w:r>
            <w:r w:rsidR="00F10323">
              <w:rPr>
                <w:webHidden/>
              </w:rPr>
              <w:fldChar w:fldCharType="end"/>
            </w:r>
          </w:hyperlink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88">
            <w:r w:rsidR="00F10323">
              <w:rPr>
                <w:bCs/>
                <w:webHidden/>
              </w:rPr>
              <w:t>5.1. Содержание дисциплины</w:t>
            </w:r>
          </w:hyperlink>
          <w:r w:rsidR="00F10323">
            <w:rPr>
              <w:bCs/>
            </w:rPr>
            <w:tab/>
            <w:t>5</w:t>
          </w:r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89">
            <w:r w:rsidR="00F10323">
              <w:rPr>
                <w:bCs/>
                <w:webHidden/>
              </w:rPr>
              <w:t>5.2. Учебно-тематический план</w:t>
            </w:r>
            <w:r w:rsidR="00F10323">
              <w:rPr>
                <w:bCs/>
              </w:rPr>
              <w:tab/>
            </w:r>
          </w:hyperlink>
          <w:r w:rsidR="00F10323">
            <w:rPr>
              <w:bCs/>
            </w:rPr>
            <w:t>10</w:t>
          </w:r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90">
            <w:r w:rsidR="00F10323">
              <w:rPr>
                <w:bCs/>
                <w:webHidden/>
              </w:rPr>
              <w:t>5.3. Содержание семинаров, практических занятий</w:t>
            </w:r>
            <w:r w:rsidR="00F10323">
              <w:rPr>
                <w:webHidden/>
              </w:rPr>
              <w:fldChar w:fldCharType="begin"/>
            </w:r>
            <w:r w:rsidR="00F10323">
              <w:rPr>
                <w:webHidden/>
              </w:rPr>
              <w:instrText>PAGEREF _Toc181559390 \h</w:instrText>
            </w:r>
            <w:r w:rsidR="00F10323">
              <w:rPr>
                <w:webHidden/>
              </w:rPr>
            </w:r>
            <w:r w:rsidR="00F10323">
              <w:rPr>
                <w:webHidden/>
              </w:rPr>
              <w:fldChar w:fldCharType="separate"/>
            </w:r>
            <w:r w:rsidR="00F10323">
              <w:rPr>
                <w:bCs/>
              </w:rPr>
              <w:tab/>
              <w:t>12</w:t>
            </w:r>
            <w:r w:rsidR="00F10323">
              <w:rPr>
                <w:webHidden/>
              </w:rPr>
              <w:fldChar w:fldCharType="end"/>
            </w:r>
          </w:hyperlink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91">
            <w:r w:rsidR="00F10323">
              <w:rPr>
                <w:webHidden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F10323">
              <w:rPr>
                <w:webHidden/>
              </w:rPr>
              <w:tab/>
            </w:r>
          </w:hyperlink>
          <w:r w:rsidR="00F10323">
            <w:t>17</w:t>
          </w:r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92">
            <w:r w:rsidR="00F10323">
              <w:rPr>
                <w:bCs/>
                <w:webHidden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</w:hyperlink>
          <w:r w:rsidR="00F10323">
            <w:rPr>
              <w:bCs/>
            </w:rPr>
            <w:tab/>
            <w:t>17</w:t>
          </w:r>
        </w:p>
        <w:p w:rsidR="00BA5080" w:rsidRDefault="00BD5F2B">
          <w:pPr>
            <w:pStyle w:val="24"/>
            <w:tabs>
              <w:tab w:val="right" w:leader="dot" w:pos="9345"/>
            </w:tabs>
            <w:jc w:val="both"/>
          </w:pPr>
          <w:hyperlink w:anchor="_Toc181559393">
            <w:r w:rsidR="00F10323">
              <w:rPr>
                <w:bCs/>
                <w:webHidden/>
              </w:rPr>
              <w:t>6.2. Перечень вопросов, заданий, тем для подготовки к текущему контролю.............................................................................................................</w:t>
            </w:r>
          </w:hyperlink>
          <w:r w:rsidR="00F10323">
            <w:rPr>
              <w:bCs/>
            </w:rPr>
            <w:t>21</w:t>
          </w:r>
        </w:p>
        <w:p w:rsidR="00BA5080" w:rsidRDefault="00BD5F2B">
          <w:pPr>
            <w:jc w:val="both"/>
          </w:pPr>
          <w:hyperlink w:anchor="_Toc181559394">
            <w:r w:rsidR="00F10323">
              <w:rPr>
                <w:webHidden/>
                <w:sz w:val="28"/>
                <w:szCs w:val="28"/>
              </w:rPr>
              <w:t>7. Фонд оценочных средств для проведения промежуточной аттестации обучающихся по дисциплине</w:t>
            </w:r>
            <w:r w:rsidR="00F10323">
              <w:rPr>
                <w:webHidden/>
                <w:sz w:val="28"/>
                <w:szCs w:val="28"/>
              </w:rPr>
              <w:tab/>
              <w:t>...............................................................................</w:t>
            </w:r>
          </w:hyperlink>
          <w:r w:rsidR="00F10323">
            <w:rPr>
              <w:sz w:val="28"/>
              <w:szCs w:val="28"/>
            </w:rPr>
            <w:t>23</w:t>
          </w:r>
        </w:p>
        <w:p w:rsidR="00BA5080" w:rsidRDefault="00BD5F2B">
          <w:pPr>
            <w:jc w:val="both"/>
          </w:pPr>
          <w:hyperlink w:anchor="_Toc181559395">
            <w:r w:rsidR="00F10323">
              <w:rPr>
                <w:webHidden/>
                <w:sz w:val="28"/>
                <w:szCs w:val="28"/>
              </w:rPr>
              <w:t>8. Перечень основной и дополнительной учебной литературы, необходимой для освоения дисциплины....................................................................................</w:t>
            </w:r>
          </w:hyperlink>
          <w:r w:rsidR="00F10323">
            <w:rPr>
              <w:sz w:val="28"/>
              <w:szCs w:val="28"/>
            </w:rPr>
            <w:t>45</w:t>
          </w:r>
        </w:p>
        <w:p w:rsidR="00BA5080" w:rsidRDefault="00BD5F2B">
          <w:pPr>
            <w:jc w:val="both"/>
          </w:pPr>
          <w:hyperlink w:anchor="_Toc181559396">
            <w:r w:rsidR="00F10323">
              <w:rPr>
                <w:webHidden/>
                <w:sz w:val="28"/>
                <w:szCs w:val="28"/>
              </w:rPr>
              <w:t>9. Перечень ресурсов информационно-телекоммуникационной сети «Интернет», необходимых для освоения дисциплины......................................</w:t>
            </w:r>
          </w:hyperlink>
          <w:r w:rsidR="00F10323">
            <w:rPr>
              <w:sz w:val="28"/>
              <w:szCs w:val="28"/>
            </w:rPr>
            <w:t>48</w:t>
          </w:r>
        </w:p>
        <w:p w:rsidR="00BA5080" w:rsidRDefault="00BD5F2B">
          <w:pPr>
            <w:jc w:val="both"/>
          </w:pPr>
          <w:hyperlink w:anchor="_Toc181559397">
            <w:r w:rsidR="00F10323">
              <w:rPr>
                <w:webHidden/>
                <w:sz w:val="28"/>
                <w:szCs w:val="28"/>
              </w:rPr>
              <w:t>10. Методические указания для обучающихся по освоению дисциплины......</w:t>
            </w:r>
          </w:hyperlink>
          <w:r w:rsidR="00F10323">
            <w:rPr>
              <w:sz w:val="28"/>
              <w:szCs w:val="28"/>
            </w:rPr>
            <w:t>48</w:t>
          </w:r>
        </w:p>
        <w:p w:rsidR="00BA5080" w:rsidRDefault="00BD5F2B">
          <w:pPr>
            <w:jc w:val="both"/>
          </w:pPr>
          <w:hyperlink w:anchor="_Toc181559398">
            <w:r w:rsidR="00F10323">
              <w:rPr>
                <w:webHidden/>
                <w:sz w:val="28"/>
                <w:szCs w:val="28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систем.....................................................................................................................</w:t>
            </w:r>
          </w:hyperlink>
          <w:r w:rsidR="00F10323">
            <w:rPr>
              <w:sz w:val="28"/>
              <w:szCs w:val="28"/>
            </w:rPr>
            <w:t>49</w:t>
          </w:r>
        </w:p>
        <w:p w:rsidR="00BA5080" w:rsidRDefault="00BD5F2B">
          <w:pPr>
            <w:jc w:val="both"/>
          </w:pPr>
          <w:hyperlink w:anchor="_Toc181559399">
            <w:r w:rsidR="00F10323">
              <w:rPr>
                <w:webHidden/>
                <w:sz w:val="28"/>
                <w:szCs w:val="28"/>
              </w:rPr>
              <w:t>11. 1. Комплект лицензионного программного обеспечения............................</w:t>
            </w:r>
          </w:hyperlink>
          <w:r w:rsidR="00F10323">
            <w:rPr>
              <w:sz w:val="28"/>
              <w:szCs w:val="28"/>
            </w:rPr>
            <w:t>49</w:t>
          </w:r>
        </w:p>
        <w:p w:rsidR="00BA5080" w:rsidRDefault="00BD5F2B">
          <w:pPr>
            <w:jc w:val="both"/>
          </w:pPr>
          <w:hyperlink w:anchor="_Toc181559400">
            <w:r w:rsidR="00F10323">
              <w:rPr>
                <w:webHidden/>
                <w:sz w:val="28"/>
                <w:szCs w:val="28"/>
              </w:rPr>
              <w:t>11.2. Современные профессиональные базы данных и информационные справочные системы.............................................................................................</w:t>
            </w:r>
          </w:hyperlink>
          <w:r w:rsidR="00F10323">
            <w:rPr>
              <w:sz w:val="28"/>
              <w:szCs w:val="28"/>
            </w:rPr>
            <w:t>49</w:t>
          </w:r>
        </w:p>
        <w:p w:rsidR="00BA5080" w:rsidRDefault="00BD5F2B">
          <w:pPr>
            <w:jc w:val="both"/>
          </w:pPr>
          <w:hyperlink w:anchor="_Toc181559401">
            <w:r w:rsidR="00F10323">
              <w:rPr>
                <w:webHidden/>
                <w:sz w:val="28"/>
                <w:szCs w:val="28"/>
              </w:rPr>
              <w:t>12. Описание материально-технической базы, необходимой для осуществления образовательного процесса по дисциплине.............................</w:t>
            </w:r>
            <w:r w:rsidR="00F10323">
              <w:rPr>
                <w:sz w:val="28"/>
                <w:szCs w:val="28"/>
              </w:rPr>
              <w:t>5</w:t>
            </w:r>
            <w:r w:rsidR="00F10323">
              <w:rPr>
                <w:webHidden/>
              </w:rPr>
              <w:fldChar w:fldCharType="begin"/>
            </w:r>
            <w:r w:rsidR="00F10323">
              <w:rPr>
                <w:webHidden/>
              </w:rPr>
              <w:instrText>PAGEREF _Toc181559401 \h</w:instrText>
            </w:r>
            <w:r w:rsidR="00F10323">
              <w:rPr>
                <w:webHidden/>
              </w:rPr>
            </w:r>
            <w:r w:rsidR="00F10323">
              <w:rPr>
                <w:webHidden/>
              </w:rPr>
              <w:fldChar w:fldCharType="separate"/>
            </w:r>
            <w:r w:rsidR="00F10323">
              <w:rPr>
                <w:sz w:val="28"/>
                <w:szCs w:val="28"/>
              </w:rPr>
              <w:t>0</w:t>
            </w:r>
            <w:r w:rsidR="00F10323">
              <w:rPr>
                <w:webHidden/>
              </w:rPr>
              <w:fldChar w:fldCharType="end"/>
            </w:r>
          </w:hyperlink>
        </w:p>
        <w:p w:rsidR="00BA5080" w:rsidRDefault="00BA5080">
          <w:pPr>
            <w:jc w:val="both"/>
          </w:pPr>
        </w:p>
        <w:p w:rsidR="00BA5080" w:rsidRDefault="00BA5080">
          <w:pPr>
            <w:jc w:val="both"/>
          </w:pPr>
        </w:p>
        <w:p w:rsidR="00BA5080" w:rsidRDefault="00BA5080"/>
        <w:p w:rsidR="00BA5080" w:rsidRDefault="00BA5080"/>
        <w:p w:rsidR="00BA5080" w:rsidRDefault="00F10323">
          <w:r>
            <w:lastRenderedPageBreak/>
            <w:fldChar w:fldCharType="end"/>
          </w:r>
        </w:p>
      </w:sdtContent>
    </w:sdt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181559383"/>
      <w:r>
        <w:rPr>
          <w:rFonts w:ascii="Times New Roman" w:hAnsi="Times New Roman" w:cs="Times New Roman"/>
          <w:b/>
          <w:color w:val="auto"/>
          <w:sz w:val="28"/>
          <w:szCs w:val="28"/>
        </w:rPr>
        <w:t>1. Наименование дисциплины</w:t>
      </w:r>
      <w:bookmarkEnd w:id="1"/>
    </w:p>
    <w:p w:rsidR="00BA5080" w:rsidRDefault="00F10323">
      <w:pPr>
        <w:keepNext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«Анализ и оценка финансового состояния и перспектив деятельности коммерческого банка»</w:t>
      </w:r>
    </w:p>
    <w:p w:rsidR="00BA5080" w:rsidRDefault="00BA5080">
      <w:pPr>
        <w:keepNext/>
        <w:spacing w:line="360" w:lineRule="auto"/>
        <w:ind w:firstLine="709"/>
        <w:jc w:val="both"/>
        <w:rPr>
          <w:bCs/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181559384"/>
      <w:r>
        <w:rPr>
          <w:rFonts w:ascii="Times New Roman" w:hAnsi="Times New Roman" w:cs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2"/>
    </w:p>
    <w:p w:rsidR="00BA5080" w:rsidRDefault="00BA5080">
      <w:pPr>
        <w:tabs>
          <w:tab w:val="left" w:pos="540"/>
        </w:tabs>
        <w:contextualSpacing/>
        <w:jc w:val="both"/>
        <w:rPr>
          <w:sz w:val="28"/>
          <w:szCs w:val="28"/>
        </w:rPr>
      </w:pPr>
    </w:p>
    <w:tbl>
      <w:tblPr>
        <w:tblW w:w="989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416"/>
        <w:gridCol w:w="2443"/>
        <w:gridCol w:w="2663"/>
        <w:gridCol w:w="3373"/>
      </w:tblGrid>
      <w:tr w:rsidR="00BA5080"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Код компетенции</w:t>
            </w:r>
          </w:p>
        </w:tc>
        <w:tc>
          <w:tcPr>
            <w:tcW w:w="2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Наименование компетенции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компетенции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rPr>
                <w:b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BA5080"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ПК-2</w:t>
            </w:r>
          </w:p>
        </w:tc>
        <w:tc>
          <w:tcPr>
            <w:tcW w:w="2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Способность определять и декомпозировать цели и задачи подразделения – «Блок риски» в соответствии со стратегическими целями банка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Устанавливает предел допустимого риска с учетом изменяющихся внешних факторов и существенности риска для конкретного банка или иного участника финансового рынка.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t>2. Обосновывает допустимый, пороговый уровень риска для стратегического уровня и его декомпозиция в разрезе отдельных видов и зон риска.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t>3. Осуществляет оценку рисковых ситуаций, тестирует и верифицирует методики оценки уровня (пороговых значений, условных зон) рисков в разрезе отдельных видов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оценки различных банковских рисков;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BA5080" w:rsidRDefault="00BA5080">
            <w:pPr>
              <w:jc w:val="both"/>
            </w:pPr>
          </w:p>
          <w:p w:rsidR="00BA5080" w:rsidRDefault="00BA5080">
            <w:pPr>
              <w:jc w:val="both"/>
            </w:pP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прогнозирования величины базовых индикаторов финансового состояния банка,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>использовать полученные знания для определения перспектив деятельности банка, ставить и формализовать задачи по повышению уровня его финансовой устойчивости.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t>3.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особенности российских и зарубежных моделей оценки финансовой устойчивости банков, применяемых органами банковского надзора,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применять современный математический инструментарий для </w:t>
            </w:r>
            <w:r>
              <w:lastRenderedPageBreak/>
              <w:t>количественной оценки рисков банка и выбора способов из минимизации.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</w:tc>
      </w:tr>
      <w:tr w:rsidR="00BA5080"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lastRenderedPageBreak/>
              <w:t>ПКН-2</w:t>
            </w:r>
          </w:p>
        </w:tc>
        <w:tc>
          <w:tcPr>
            <w:tcW w:w="2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Способность применять продвинутые современные инструменты и методы анализа финансово-кредитной сферы, финансов государственного и негосударственного секторов экономики для целей эффективного управления финансовыми ресурсами, решения проектно-экономических задач, в том числе, в условиях цифровой экономики и развития Финтеха, разработки механизмов монетарного и финансового регулирования, как на уровне отдельных организаций и институтов финансового рынка, так и на уровне публично-правовых образований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Владеет современными инструментами и методами анализа и регулирования финансов государственного и негосударственного секторов экономики, деятельности институтов финансово-кредитной сферы.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2. Демонстрирует способность решения проектно-экономических задач в профессиональной деятельности.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3. Демонстрирует освоение инструментов Финтеха.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 xml:space="preserve">4. Владеет методами анализа Big Date, использует их для решения </w:t>
            </w:r>
            <w:r>
              <w:lastRenderedPageBreak/>
              <w:t>профессиональных задач на микро-, мезо- и макроуровнях, в том числе на уровне финансового рынка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направления и методы анализа и оценки финансового состояния коммерческого банка;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>- возможности приложений для командной работы над проектами (YouGile, Яндекс Документы);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правильно интерпретировать значения рассчитанных показателей, оценивать их взаимную связь;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представлять результаты оценки финансовой устойчивости банков различным категориям пользователей (руководству банка, инвесторам, органам надзора) с применением традиционных программ и современных приложений для бизнес-аналитики.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>3.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>4.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 xml:space="preserve">: - основные направления применения технологий больших данных и </w:t>
            </w:r>
            <w:r>
              <w:lastRenderedPageBreak/>
              <w:t>искусственного интеллекта для оценки финансовой устойчивости банков,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- источники больших данных о финансовом и рыночном положении банка (analizbankov.ru, cbr.ru);</w:t>
            </w:r>
          </w:p>
          <w:p w:rsidR="00BA5080" w:rsidRDefault="00F10323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данные о финансовом состоянии банка для определения перспектив его развития;</w:t>
            </w:r>
          </w:p>
        </w:tc>
      </w:tr>
    </w:tbl>
    <w:p w:rsidR="00BA5080" w:rsidRDefault="00BA5080">
      <w:pPr>
        <w:tabs>
          <w:tab w:val="left" w:pos="540"/>
        </w:tabs>
        <w:contextualSpacing/>
        <w:jc w:val="both"/>
        <w:rPr>
          <w:b/>
          <w:sz w:val="28"/>
          <w:szCs w:val="28"/>
        </w:rPr>
      </w:pPr>
    </w:p>
    <w:p w:rsidR="00BA5080" w:rsidRDefault="00BA5080">
      <w:pPr>
        <w:tabs>
          <w:tab w:val="left" w:pos="540"/>
        </w:tabs>
        <w:contextualSpacing/>
        <w:jc w:val="both"/>
        <w:rPr>
          <w:b/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" w:name="_Toc181559385"/>
      <w:r>
        <w:rPr>
          <w:rFonts w:ascii="Times New Roman" w:hAnsi="Times New Roman" w:cs="Times New Roman"/>
          <w:b/>
          <w:color w:val="auto"/>
          <w:sz w:val="28"/>
          <w:szCs w:val="28"/>
        </w:rPr>
        <w:t>3. Место дисциплины в структуре образовательной программы</w:t>
      </w:r>
      <w:bookmarkEnd w:id="3"/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Дисциплина «Анализ и оценка финансового состояния и перспектив деятельности коммерческого банка» относится к модулю направленности программы магистратуры «Управление финансовыми рисками: прикладная аналитика и технологии в банках».</w:t>
      </w:r>
    </w:p>
    <w:p w:rsidR="00BA5080" w:rsidRDefault="00BA5080">
      <w:pPr>
        <w:spacing w:line="360" w:lineRule="auto"/>
        <w:ind w:firstLine="709"/>
        <w:jc w:val="both"/>
        <w:rPr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181559386"/>
      <w:r>
        <w:rPr>
          <w:rFonts w:ascii="Times New Roman" w:hAnsi="Times New Roman" w:cs="Times New Roman"/>
          <w:b/>
          <w:color w:val="auto"/>
          <w:sz w:val="28"/>
          <w:szCs w:val="28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4"/>
    </w:p>
    <w:p w:rsidR="00BA5080" w:rsidRDefault="00F10323">
      <w:pPr>
        <w:ind w:firstLine="709"/>
        <w:jc w:val="right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Таблица </w:t>
      </w:r>
      <w:r>
        <w:rPr>
          <w:sz w:val="28"/>
          <w:szCs w:val="28"/>
          <w:lang w:val="en-US"/>
        </w:rPr>
        <w:t>1</w:t>
      </w:r>
    </w:p>
    <w:p w:rsidR="00BA5080" w:rsidRDefault="00BA5080">
      <w:pPr>
        <w:rPr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18"/>
        <w:gridCol w:w="1985"/>
        <w:gridCol w:w="1842"/>
      </w:tblGrid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Вид учебной работы   по дисциплине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</w:t>
            </w:r>
          </w:p>
          <w:p w:rsidR="00BA5080" w:rsidRDefault="00F10323">
            <w:pPr>
              <w:pStyle w:val="afd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Модуль 4</w:t>
            </w:r>
          </w:p>
          <w:p w:rsidR="00BA5080" w:rsidRDefault="00F10323">
            <w:pPr>
              <w:pStyle w:val="afd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часах)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Общая трудоемкость дисциплины 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/ 144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Контактная работа - Аудиторные занятия 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Лекции 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Семинары, практические занятия  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Вид текущего контроля 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Домашнее творческое задание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Домашнее творческое задание</w:t>
            </w:r>
          </w:p>
        </w:tc>
      </w:tr>
      <w:tr w:rsidR="00BA5080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pStyle w:val="afd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</w:tr>
    </w:tbl>
    <w:p w:rsidR="00BA5080" w:rsidRDefault="00BA5080">
      <w:pPr>
        <w:jc w:val="both"/>
        <w:rPr>
          <w:b/>
          <w:bCs/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181559387"/>
      <w:r>
        <w:rPr>
          <w:rFonts w:ascii="Times New Roman" w:hAnsi="Times New Roman" w:cs="Times New Roman"/>
          <w:b/>
          <w:color w:val="auto"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5"/>
    </w:p>
    <w:p w:rsidR="00BA5080" w:rsidRDefault="00F10323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181559388"/>
      <w:r>
        <w:rPr>
          <w:rFonts w:ascii="Times New Roman" w:hAnsi="Times New Roman" w:cs="Times New Roman"/>
          <w:b/>
          <w:color w:val="auto"/>
          <w:sz w:val="28"/>
          <w:szCs w:val="28"/>
        </w:rPr>
        <w:t>5.1. Содержание дисциплины</w:t>
      </w:r>
      <w:bookmarkEnd w:id="6"/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1. Содержание и факторы финансовой устойчивости банка.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Соотношение понятий «финансовое состояние», «финансовая </w:t>
      </w:r>
      <w:r>
        <w:rPr>
          <w:sz w:val="28"/>
          <w:szCs w:val="28"/>
        </w:rPr>
        <w:lastRenderedPageBreak/>
        <w:t>устойчивость», «финансовая стабильность», «экономическое положение» банка. Концептуальные подходы трактовки этих понятий. Признаки финансовой устойчивости коммерческого банка. Внутренние, внешние, региональные факторы финансовой устойчивости коммерческого банка.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Взаимосвязь финансовой устойчивости коммерческого банка с устойчивостью банковской системы.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2. Методические и организационные основы финансовой устойчивости банка.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Характеристика системы оценки финансовой устойчивости банка и ее элементов. Цель оценки, субъекты, объект, и принципы оценки финансовой устойчивости коммерческого банка.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Критерии и показатели оценки финансовой устойчивости кредитной организации. Модели оценки финансовой устойчивости банка, их классификация. Особенности рейтинговых моделей, экспертных и смешанных. </w:t>
      </w:r>
    </w:p>
    <w:p w:rsidR="00BA5080" w:rsidRDefault="00F10323">
      <w:pPr>
        <w:pStyle w:val="Style23"/>
        <w:widowControl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Дифференциация кредитных организаций по степени финансовой устойчивости, характеристика классификационных групп устойчивости.</w:t>
      </w:r>
    </w:p>
    <w:p w:rsidR="00BA5080" w:rsidRDefault="00F10323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Блоки оценки финансовой устойчивости кредитной организации: методический, финансовый, нефинансовые и информационный. </w:t>
      </w:r>
    </w:p>
    <w:p w:rsidR="00BA5080" w:rsidRDefault="00F10323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Нормативно-правовая база проведения оценки финансовой устойчивости банка.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Финансовый анализ устойчивости банка. Нефинансовые характеристики устойчивости, критерии оценки. Информационная база проведения оценки. Внешние и внутренние источники информации. Финансовая и нефинансовая информация. Виды финансовой отчетности, их характеристика.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Источники данных для оценки устойчивости отдельных банков и групп банков (Банк России</w:t>
      </w:r>
      <w:r>
        <w:rPr>
          <w:rStyle w:val="a9"/>
          <w:sz w:val="28"/>
          <w:szCs w:val="28"/>
        </w:rPr>
        <w:footnoteReference w:id="1"/>
      </w:r>
      <w:r>
        <w:rPr>
          <w:sz w:val="28"/>
          <w:szCs w:val="28"/>
        </w:rPr>
        <w:t xml:space="preserve">, портал банковского аналитика). 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Количественные и качественные показатели финансовой устойчивости банка. Группы основных коэффициентов (показателей), их назначение и использование в оценке.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3. Нефинансовые факторы финансовой устойчивости банка и их оценка.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 рыночного позиционирования банка. Критерии рыночной позиции банка, ее оценка.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Бизнес-модель банка: понятие, разновидности и риски. Географическая и функциональная диверсификация направлений бизнеса.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Организационная структура банка, ее адаптивность к внешним угрозам. Качество системы управления.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Стратегия развития банка. Виды стратегий. Оценка степени достижимости заявленных целей в стратегии развития.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собственности и деловая репутация. Деловая репутация собственников и руководителей. Наличие конфликта собственников и руководителей. Степень связанности операций банка с бизнесом собственников. Степень раскрытия собственников. Деловая репутация банка.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Банка России к оценке качественных факторов (Указание Банка России № 4336-У от 03.04.2017 «Об оценке экономического положения банков»): оценка качества управления (4 показателя) и оценка структуры собственности (3 показателя).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нефинансовых факторов кредитоспособности банков.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4. Оценка качества активов банка и его рисков.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задачи оценки и анализа качества активов банка. Критерии качества активов. Сравнительная характеристика качества активов баланса банка. Методы оценки активов коммерческого банка. Характеристика взаимосвязи доходности активов и риска. Прямая и обратная зависимость.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Основные направления оценки качества кредитного портфеля банка. Сегменты кредитного портфеля и сопутствующие им риски. Качество кредитного портфеля, агрегированная оценка и индивидуальный риск.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Нормативное регулирование кредитного риска. 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лицензией». Положение Банка России от 28 июня 2017 г. N 590-П «О порядке формирования кредитными организациями резервов на возможные потери по ссудам, ссудной и приравненной к ней задолженности».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Методика Банка России по оценке качества активов коммерческого банка (Указание от 03.04.2017 г. № 4336-У «Об оценке экономического положения банков»).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качества активов банков и уровня принятых рисков.</w:t>
      </w:r>
      <w:r>
        <w:t xml:space="preserve"> 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5. Оценка собственного капитала банка и его достаточности.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и структура собственного капитала: источники формирования, качество элементов капитала. Особенности структуры собственного капитала национального банковского сектора и отдельных банков.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достаточности собственного капитала. Факторы, определяющие объем и структуру капитала банка. Оценка достаточности капитала банковской группы, ее особенности. Риск вынужденной финансовой поддержки и его влияние на достаточность капитала банка на соло основе.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Показатели эффективности использования капитала банка. Влияние показателя рентабельности капитала на финансовую устойчивость банка.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Комплексная оценка капитала банка на основе его классификационной группы по методике Банка России (Указание №4336-У) и категории качества внутренних процедур оценки достаточности капитала (ВПОДК), согласно Указанию №3883-У.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Подходы рейтинговых агентств к оценке достаточности собственного капитала банка. Динамический, структурный, сравнительный анализ </w:t>
      </w:r>
      <w:r>
        <w:rPr>
          <w:sz w:val="28"/>
          <w:szCs w:val="28"/>
        </w:rPr>
        <w:lastRenderedPageBreak/>
        <w:t>структуры капитала банка. Подходы к оценке показателя достаточности капитала рейтинговых агентств.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6. Оценка рентабельности банка.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Виды и источники доходов банка. Факторы влияния на доходность деятельности банка. 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Экономическое содержание показателей доходности и рентабельности деятельности коммерческого банка.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Количественный и качественный анализ доходности деятельности банка. Факторный анализ доходности и затратности операций на основе модели Дюпона. Структурный анализ показателя рентабельности активов (</w:t>
      </w:r>
      <w:r>
        <w:rPr>
          <w:sz w:val="28"/>
          <w:szCs w:val="28"/>
          <w:lang w:val="en-US"/>
        </w:rPr>
        <w:t>ROA</w:t>
      </w:r>
      <w:r>
        <w:rPr>
          <w:sz w:val="28"/>
          <w:szCs w:val="28"/>
        </w:rPr>
        <w:t>).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Взаимосвязь стабильного роста активов и рентабельности деятельности банка. Моделирование доходности активов. </w:t>
      </w:r>
    </w:p>
    <w:p w:rsidR="00BA5080" w:rsidRDefault="00F10323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Показатели оценки доходности банка в соответствии с Указанием Банка России от 03.04.2017 г. № 4336-У «Об оценке экономического положения банков».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доходности и рентабельности деятельности банка.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 7. </w:t>
      </w:r>
      <w:bookmarkStart w:id="7" w:name="OLE_LINK4"/>
      <w:bookmarkStart w:id="8" w:name="OLE_LINK3"/>
      <w:r>
        <w:rPr>
          <w:b/>
          <w:sz w:val="28"/>
          <w:szCs w:val="28"/>
        </w:rPr>
        <w:t>Оценка привлеченных и заемных ресурсов банка</w:t>
      </w:r>
      <w:bookmarkEnd w:id="7"/>
      <w:bookmarkEnd w:id="8"/>
      <w:r>
        <w:rPr>
          <w:b/>
          <w:sz w:val="28"/>
          <w:szCs w:val="28"/>
        </w:rPr>
        <w:t>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и анализ структуры привлеченных ресурсов банка. Критерии и методы оценки. 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сбалансированности ресурсов и активов банка. Факторы, определяющие оптимальную структуру ресурсов банка. Моделирование структуры ресурсов и активов с учетом регуляторных требований.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привлеченных и заемных средств</w:t>
      </w:r>
      <w:r>
        <w:rPr>
          <w:rStyle w:val="a9"/>
          <w:sz w:val="28"/>
          <w:szCs w:val="28"/>
        </w:rPr>
        <w:footnoteReference w:id="2"/>
      </w:r>
      <w:r>
        <w:rPr>
          <w:sz w:val="28"/>
          <w:szCs w:val="28"/>
        </w:rPr>
        <w:t xml:space="preserve"> банка.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8. Оценка ликвидности банка.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Понятие ликвидности банка и ликвидности баланса банка. Факторы, влияющие на состояние ликвидности банка.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Ликвидность коммерческого банка и ее связь с финансовой устойчивостью. Основные задачи и источники информации для анализа ликвидности. Методы оценки ликвидности коммерческого банка. Коэффициентный метод и метод разрывов (GAP). Матричный анализ ликвидности коммерческого банка. Анализ выполнения нормативов ликвидности. 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оценки процентного риска при разрывах ликвидности. Методы анализа процентного риска: </w:t>
      </w:r>
      <w:r>
        <w:rPr>
          <w:sz w:val="28"/>
          <w:szCs w:val="28"/>
          <w:lang w:val="en-US"/>
        </w:rPr>
        <w:t>GAP</w:t>
      </w:r>
      <w:r>
        <w:rPr>
          <w:sz w:val="28"/>
          <w:szCs w:val="28"/>
        </w:rPr>
        <w:t>-анализ, имитационное моделирование.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 Банка России к оценке ликвидности банка (Указание 4336-У).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ликвидности банка.</w:t>
      </w: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bookmarkStart w:id="9" w:name="OLE_LINK2"/>
      <w:bookmarkStart w:id="10" w:name="OLE_LINK1"/>
      <w:bookmarkEnd w:id="9"/>
      <w:bookmarkEnd w:id="10"/>
      <w:r>
        <w:rPr>
          <w:b/>
          <w:sz w:val="28"/>
          <w:szCs w:val="28"/>
        </w:rPr>
        <w:t>Тема 9. Комплексная оценка финансовой устойчивости банка и прогноз ее изменения.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Ретроспективный метод оценки перспектив деятельности банка. Моделирование изменения количественных параметров объема активов и обязательств с учетом рыночных условий и целевых ориентиров деятельности банка. 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представление результатов оценки в виде аналитических диаграмм и комплексного заключения о финансовой устойчивости банка.</w:t>
      </w:r>
    </w:p>
    <w:p w:rsidR="00BA5080" w:rsidRDefault="00BA5080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BA5080" w:rsidRDefault="00F10323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OLE_LINK21"/>
      <w:bookmarkStart w:id="12" w:name="OLE_LINK11"/>
      <w:bookmarkEnd w:id="11"/>
      <w:bookmarkEnd w:id="12"/>
      <w:r>
        <w:rPr>
          <w:rFonts w:ascii="Times New Roman" w:hAnsi="Times New Roman" w:cs="Times New Roman"/>
          <w:b/>
          <w:color w:val="auto"/>
          <w:sz w:val="28"/>
          <w:szCs w:val="28"/>
        </w:rPr>
        <w:t>5</w:t>
      </w:r>
      <w:bookmarkStart w:id="13" w:name="_Toc181559389"/>
      <w:r>
        <w:rPr>
          <w:rFonts w:ascii="Times New Roman" w:hAnsi="Times New Roman" w:cs="Times New Roman"/>
          <w:b/>
          <w:color w:val="auto"/>
          <w:sz w:val="28"/>
          <w:szCs w:val="28"/>
        </w:rPr>
        <w:t>.2. Учебно-тематический план</w:t>
      </w:r>
      <w:bookmarkEnd w:id="13"/>
    </w:p>
    <w:p w:rsidR="00BA5080" w:rsidRDefault="00F10323">
      <w:pPr>
        <w:jc w:val="right"/>
        <w:rPr>
          <w:b/>
          <w:sz w:val="28"/>
          <w:szCs w:val="28"/>
          <w:lang w:val="en-US"/>
        </w:rPr>
      </w:pPr>
      <w:r>
        <w:rPr>
          <w:sz w:val="28"/>
          <w:szCs w:val="28"/>
        </w:rPr>
        <w:t xml:space="preserve">Таблица </w:t>
      </w:r>
      <w:r>
        <w:rPr>
          <w:sz w:val="28"/>
          <w:szCs w:val="28"/>
          <w:lang w:val="en-US"/>
        </w:rPr>
        <w:t>2</w:t>
      </w:r>
    </w:p>
    <w:tbl>
      <w:tblPr>
        <w:tblW w:w="5000" w:type="pct"/>
        <w:tblInd w:w="-175" w:type="dxa"/>
        <w:tblLayout w:type="fixed"/>
        <w:tblLook w:val="04A0" w:firstRow="1" w:lastRow="0" w:firstColumn="1" w:lastColumn="0" w:noHBand="0" w:noVBand="1"/>
      </w:tblPr>
      <w:tblGrid>
        <w:gridCol w:w="559"/>
        <w:gridCol w:w="2072"/>
        <w:gridCol w:w="810"/>
        <w:gridCol w:w="889"/>
        <w:gridCol w:w="759"/>
        <w:gridCol w:w="1145"/>
        <w:gridCol w:w="1193"/>
        <w:gridCol w:w="1918"/>
      </w:tblGrid>
      <w:tr w:rsidR="00BA5080">
        <w:trPr>
          <w:tblHeader/>
        </w:trPr>
        <w:tc>
          <w:tcPr>
            <w:tcW w:w="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№</w:t>
            </w:r>
          </w:p>
          <w:p w:rsidR="00BA5080" w:rsidRDefault="00F10323">
            <w:pPr>
              <w:tabs>
                <w:tab w:val="right" w:pos="851"/>
              </w:tabs>
            </w:pPr>
            <w:r>
              <w:t>п/п</w:t>
            </w:r>
          </w:p>
        </w:tc>
        <w:tc>
          <w:tcPr>
            <w:tcW w:w="20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480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right" w:pos="851"/>
              </w:tabs>
              <w:jc w:val="center"/>
              <w:rPr>
                <w:b/>
              </w:rPr>
            </w:pPr>
            <w:r>
              <w:rPr>
                <w:b/>
              </w:rPr>
              <w:t>Трудоемкость в часах</w:t>
            </w:r>
          </w:p>
        </w:tc>
        <w:tc>
          <w:tcPr>
            <w:tcW w:w="19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  <w:rPr>
                <w:b/>
              </w:rPr>
            </w:pPr>
            <w:r>
              <w:rPr>
                <w:b/>
              </w:rPr>
              <w:t>Формы текущего контроля успеваемости</w:t>
            </w:r>
          </w:p>
        </w:tc>
      </w:tr>
      <w:tr w:rsidR="00BA5080">
        <w:trPr>
          <w:tblHeader/>
        </w:trPr>
        <w:tc>
          <w:tcPr>
            <w:tcW w:w="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8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27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  <w:rPr>
                <w:b/>
              </w:rPr>
            </w:pPr>
            <w:r>
              <w:rPr>
                <w:b/>
              </w:rPr>
              <w:t>Контактная работа * - Аудиторная работа</w:t>
            </w:r>
          </w:p>
        </w:tc>
        <w:tc>
          <w:tcPr>
            <w:tcW w:w="11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rPr>
                <w:b/>
              </w:rPr>
              <w:t>Самостоятельная работа</w:t>
            </w:r>
          </w:p>
        </w:tc>
        <w:tc>
          <w:tcPr>
            <w:tcW w:w="19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</w:tr>
      <w:tr w:rsidR="00BA5080">
        <w:trPr>
          <w:tblHeader/>
        </w:trPr>
        <w:tc>
          <w:tcPr>
            <w:tcW w:w="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20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8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Общая, в т.ч.: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Лек</w:t>
            </w:r>
          </w:p>
          <w:p w:rsidR="00BA5080" w:rsidRDefault="00F10323">
            <w:pPr>
              <w:tabs>
                <w:tab w:val="right" w:pos="851"/>
              </w:tabs>
            </w:pPr>
            <w:r>
              <w:t>ции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Семи</w:t>
            </w:r>
          </w:p>
          <w:p w:rsidR="00BA5080" w:rsidRDefault="00F10323">
            <w:pPr>
              <w:tabs>
                <w:tab w:val="right" w:pos="851"/>
              </w:tabs>
            </w:pPr>
            <w:r>
              <w:t>нары, практи</w:t>
            </w:r>
          </w:p>
          <w:p w:rsidR="00BA5080" w:rsidRDefault="00F10323">
            <w:pPr>
              <w:tabs>
                <w:tab w:val="right" w:pos="851"/>
              </w:tabs>
            </w:pPr>
            <w:r>
              <w:t>ческие   занятия</w:t>
            </w:r>
          </w:p>
        </w:tc>
        <w:tc>
          <w:tcPr>
            <w:tcW w:w="11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19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1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1. Содержание и факторы финансовой устойчивости банка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-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</w:pPr>
            <w:r>
              <w:t>Дискуссия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lastRenderedPageBreak/>
              <w:t>2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2. Методические и организационные основы финансовой устойчивости банка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9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Дискуссия, сбор данных по заданию, построение набора банков и выгрузка данных по ним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3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3. Нефинансовые факторы финансовой устойчивости банка и их оценка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9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Дискуссия;</w:t>
            </w:r>
          </w:p>
          <w:p w:rsidR="00BA5080" w:rsidRDefault="00F10323">
            <w:r>
              <w:t>решение ситуационных задач на примере российских банков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4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4. Оценка качества активов банка и его рисков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16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Дискуссия, сбор данных по заданию, решение ситуационных задач по анализу качества активов реальных банков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5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5. Оценка собственного капитала банка и его достаточности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16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Сбор данных по заданию с помощью открытых источников данных, решение ситуационных задач по анализу структуры и достаточности капитала банков</w:t>
            </w:r>
          </w:p>
        </w:tc>
      </w:tr>
      <w:tr w:rsidR="00BA5080">
        <w:trPr>
          <w:trHeight w:val="1108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6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6. Оценка рентабельности банка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16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 xml:space="preserve">Дискуссия, сбор данных по заданию, решение ситуационных задач по </w:t>
            </w:r>
            <w:r>
              <w:lastRenderedPageBreak/>
              <w:t>анализу рентабельности российских банков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lastRenderedPageBreak/>
              <w:t>7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7. Оценка привлеченных и заемных ресурсов банка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24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14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Дискуссия, сбор данных по заданию, решение ситуационных задач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8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8. Оценка ликвидности банка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24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8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12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Дискуссия, сбор данных по заданию, решение ситуационных задач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9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 xml:space="preserve">Тема 9. Комплексная оценка финансовой устойчивости банка и прогноз ее изменения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22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6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rPr>
                <w:color w:val="000000"/>
              </w:rPr>
              <w:t>16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Дискуссия, проведение дебатов, построение аналитических диаграмм по результатам комплексного анализа устойчивости банка</w:t>
            </w:r>
          </w:p>
        </w:tc>
      </w:tr>
      <w:tr w:rsidR="00BA5080">
        <w:trPr>
          <w:trHeight w:val="70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В целом по дисциплине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144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60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20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40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84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r>
              <w:t>Согласно учебному плану: домашнее творческое задание</w:t>
            </w:r>
          </w:p>
        </w:tc>
      </w:tr>
      <w:tr w:rsidR="00BA5080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BA5080">
            <w:pPr>
              <w:tabs>
                <w:tab w:val="right" w:pos="851"/>
              </w:tabs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tabs>
                <w:tab w:val="right" w:pos="851"/>
              </w:tabs>
            </w:pPr>
            <w:r>
              <w:t>Итого %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100%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42%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33%</w:t>
            </w:r>
          </w:p>
        </w:tc>
        <w:tc>
          <w:tcPr>
            <w:tcW w:w="1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67%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F10323">
            <w:pPr>
              <w:tabs>
                <w:tab w:val="right" w:pos="851"/>
              </w:tabs>
              <w:jc w:val="center"/>
            </w:pPr>
            <w:r>
              <w:t>58%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A5080" w:rsidRDefault="00BA5080"/>
        </w:tc>
      </w:tr>
    </w:tbl>
    <w:p w:rsidR="00BA5080" w:rsidRDefault="00F10323">
      <w:pPr>
        <w:pStyle w:val="afd"/>
        <w:keepNext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:rsidR="00BA5080" w:rsidRDefault="00BA5080">
      <w:pPr>
        <w:pStyle w:val="af5"/>
        <w:jc w:val="both"/>
        <w:rPr>
          <w:b w:val="0"/>
          <w:szCs w:val="28"/>
        </w:rPr>
      </w:pPr>
    </w:p>
    <w:p w:rsidR="00BA5080" w:rsidRDefault="00F10323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181559390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5.3. Содержание семинаров, практических занятий</w:t>
      </w:r>
      <w:bookmarkEnd w:id="14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BA5080" w:rsidRDefault="00F10323">
      <w:pPr>
        <w:keepNext/>
        <w:ind w:firstLine="709"/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W w:w="9570" w:type="dxa"/>
        <w:tblLayout w:type="fixed"/>
        <w:tblLook w:val="04A0" w:firstRow="1" w:lastRow="0" w:firstColumn="1" w:lastColumn="0" w:noHBand="0" w:noVBand="1"/>
      </w:tblPr>
      <w:tblGrid>
        <w:gridCol w:w="1886"/>
        <w:gridCol w:w="4773"/>
        <w:gridCol w:w="2911"/>
      </w:tblGrid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Перечень вопросов для обсуждения на семинарских, практических занятиях, рекомендуемые источники из разделов 8,9 (указывается раздел и порядковый номер источника)</w:t>
            </w:r>
          </w:p>
          <w:p w:rsidR="00BA5080" w:rsidRDefault="00BA5080">
            <w:pPr>
              <w:keepNext/>
              <w:jc w:val="both"/>
              <w:rPr>
                <w:b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Формы проведения занятий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Тема 1. Содержание и факторы финансовой устойчивости банка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</w:pPr>
            <w:r>
              <w:t>1. Понятие финансовой устойчивости банка.</w:t>
            </w:r>
          </w:p>
          <w:p w:rsidR="00BA5080" w:rsidRDefault="00F10323">
            <w:pPr>
              <w:keepNext/>
              <w:jc w:val="both"/>
            </w:pPr>
            <w:r>
              <w:t>2. Общая характеристика типов устойчивости банка.</w:t>
            </w:r>
          </w:p>
          <w:p w:rsidR="00BA5080" w:rsidRDefault="00F10323">
            <w:pPr>
              <w:keepNext/>
              <w:jc w:val="both"/>
            </w:pPr>
            <w:r>
              <w:t>3. Внешние и внутренние факторы финансовой устойчивости.</w:t>
            </w:r>
          </w:p>
          <w:p w:rsidR="00BA5080" w:rsidRDefault="00BA5080">
            <w:pPr>
              <w:keepNext/>
              <w:jc w:val="both"/>
            </w:pP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6, 8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рекомендуемая литература: </w:t>
            </w:r>
            <w:r>
              <w:rPr>
                <w:i/>
                <w:sz w:val="24"/>
                <w:szCs w:val="24"/>
                <w:lang w:val="en-US"/>
              </w:rPr>
              <w:t>1</w:t>
            </w:r>
            <w:r>
              <w:rPr>
                <w:i/>
                <w:sz w:val="24"/>
                <w:szCs w:val="24"/>
              </w:rPr>
              <w:t>, 3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9: 8-10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Дискуссия по трактовке финансовой устойчивости и ее факторам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Тема 2. Методические и организационные основы финансовой устойчивости банка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оценки финансовой устойчивости кредитной организации, ее основные элементы.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Типы моделей оценки финансовой устойчивости банка.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Базовые подходы и основные направления анализа финансового состояния банка.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Особенности анализа структуры баланса банка в российской и зарубежной практике.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Инструментарий баз данных Банка России (cbr.ru) и портала банковского аналитика (analizbankov.ru) для сбора и обработки информации об отдельном банке или наборе банков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Сквозные цифровые технологии: понятие, виды и применение в кредитном анализе банков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Цифровые источники структурированных данных для анализа финансовой устойчивости коммерческого банка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Понятие и свойства больших данных. Их особенности в оценке устойчивости банка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Сравнительная характеристика традиционных и современных инструментов анализа финансового состояния банков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Содержание и архитектура данных о кредитных организациях на сайте Банка </w:t>
            </w:r>
            <w:r>
              <w:rPr>
                <w:sz w:val="24"/>
                <w:szCs w:val="24"/>
              </w:rPr>
              <w:lastRenderedPageBreak/>
              <w:t>России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Основные разделы и возможности портала банковского аналитика (analizbankov.ru)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Тактика выбор сопоставимых банков для сравнительного анализа с использованием analizbankov.ru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Группы банков на analizbankov.ru: построение, особенности индикаторов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Встроенные и пользовательские рейтинги банков на analizbankov.ru</w:t>
            </w: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5, 6, 8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рекомендуемая литература: 1, 2, 5, 6, 7, 8</w:t>
            </w:r>
          </w:p>
          <w:p w:rsidR="00BA5080" w:rsidRDefault="00F10323">
            <w:pPr>
              <w:keepNext/>
              <w:jc w:val="both"/>
            </w:pPr>
            <w:r>
              <w:rPr>
                <w:i/>
              </w:rPr>
              <w:t>Раздел 9: 1-7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Дискуссия по вопросам темы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Обзор портала банковского аналитика и его возможностей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Обзор структуры данных о кредитных организациях на сайте Банка России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lastRenderedPageBreak/>
              <w:t>Тема 3. Нефинансовые факторы финансовой устойчивости банка и их оценка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Подходы к оценке рыночных позиций банка.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Диверсификация и оценка направлений деловой активности банка.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оценки качества управления (компетентность команды управленцев, система управления рисками и др.).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Стратегия банка и ее оценки в контексте анализа уровня устойчивости банка и перспектив его деятельности.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Оценка структуры собственности банка.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Использование цифровых источников для оценки деловой репутации и уровня акционерных рисков.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Подходы Банка России к оценке нефинансовых факторов (Указание 4336-У).</w:t>
            </w:r>
          </w:p>
          <w:p w:rsidR="00BA5080" w:rsidRDefault="00BA5080">
            <w:pPr>
              <w:keepNext/>
              <w:ind w:firstLine="119"/>
              <w:jc w:val="both"/>
              <w:rPr>
                <w:i/>
              </w:rPr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нормативно-правовые акты: </w:t>
            </w:r>
            <w:r>
              <w:rPr>
                <w:i/>
                <w:sz w:val="24"/>
                <w:szCs w:val="24"/>
                <w:lang w:val="en-US"/>
              </w:rPr>
              <w:t>6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рекомендуемая литература: </w:t>
            </w:r>
            <w:r>
              <w:rPr>
                <w:i/>
                <w:sz w:val="24"/>
                <w:szCs w:val="24"/>
                <w:lang w:val="en-US"/>
              </w:rPr>
              <w:t>1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9: 1-4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Дискуссия по вопросам темы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ситуационных задач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Тема 4. Оценка качества активов банка и его рисков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</w:pPr>
            <w:r>
              <w:t>1.</w:t>
            </w:r>
            <w:r>
              <w:tab/>
              <w:t>Динамика структуры активов российских коммерческих банков в современных условиях.</w:t>
            </w:r>
          </w:p>
          <w:p w:rsidR="00BA5080" w:rsidRDefault="00F10323">
            <w:pPr>
              <w:keepNext/>
              <w:jc w:val="both"/>
            </w:pPr>
            <w:r>
              <w:t>2. Методы оценки качества активов банка.</w:t>
            </w:r>
          </w:p>
          <w:p w:rsidR="00BA5080" w:rsidRDefault="00F10323">
            <w:pPr>
              <w:keepNext/>
              <w:jc w:val="both"/>
            </w:pPr>
            <w:r>
              <w:t>3.</w:t>
            </w:r>
            <w:r>
              <w:tab/>
              <w:t xml:space="preserve"> Оценка качества активов по методике Банка России (Указание № 4336-У).</w:t>
            </w:r>
          </w:p>
          <w:p w:rsidR="00BA5080" w:rsidRDefault="00F10323">
            <w:pPr>
              <w:keepNext/>
              <w:jc w:val="both"/>
            </w:pPr>
            <w:r>
              <w:t xml:space="preserve">4. Использование цифровых инструментов для анализа качества активов банка или </w:t>
            </w:r>
            <w:r>
              <w:lastRenderedPageBreak/>
              <w:t>группы банков.</w:t>
            </w:r>
          </w:p>
          <w:p w:rsidR="00BA5080" w:rsidRDefault="00F10323">
            <w:pPr>
              <w:keepNext/>
              <w:jc w:val="both"/>
            </w:pPr>
            <w:r>
              <w:t>5. Подходы рейтинговых агентств к оценке качества активов банков.</w:t>
            </w:r>
          </w:p>
          <w:p w:rsidR="00BA5080" w:rsidRDefault="00F10323">
            <w:pPr>
              <w:keepNext/>
              <w:jc w:val="both"/>
            </w:pPr>
            <w:r>
              <w:t>6. Способы оценки уровня принятых банком рисков в контексте изучения уровня его финансовой устойчивости (рыночные риски, операционный риск, система управления рисками).</w:t>
            </w: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4, 6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рекомендуемая литература: 1, 2</w:t>
            </w:r>
          </w:p>
          <w:p w:rsidR="00BA5080" w:rsidRDefault="00F10323">
            <w:pPr>
              <w:keepNext/>
              <w:jc w:val="both"/>
            </w:pPr>
            <w:r>
              <w:rPr>
                <w:i/>
              </w:rPr>
              <w:t>Раздел 9: 1-4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Дискуссия по вопросам темы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ситуационных задач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Сбор количественных данных о качестве активов банка с использованием портала банковского аналитика и </w:t>
            </w:r>
            <w:r>
              <w:rPr>
                <w:sz w:val="24"/>
                <w:szCs w:val="24"/>
              </w:rPr>
              <w:lastRenderedPageBreak/>
              <w:t>других источников.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набора банков для проведения сравнительного анализа качества активов с использованием портала банковского аналитика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аналитических диаграмм и/или интерактивных панелей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lastRenderedPageBreak/>
              <w:t>Тема 5. Оценка собственного капитала банка и его достаточности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</w:pPr>
            <w:r>
              <w:t>1.</w:t>
            </w:r>
            <w:r>
              <w:tab/>
              <w:t>Понятие собственного капитала банка и его структуры.</w:t>
            </w:r>
          </w:p>
          <w:p w:rsidR="00BA5080" w:rsidRDefault="00F10323">
            <w:pPr>
              <w:keepNext/>
              <w:jc w:val="both"/>
            </w:pPr>
            <w:r>
              <w:t>2.</w:t>
            </w:r>
            <w:r>
              <w:tab/>
              <w:t>Методы и цель расчета базового, добавочного, основного и дополнительного капитала, собственных средств (капитала) банка.</w:t>
            </w:r>
          </w:p>
          <w:p w:rsidR="00BA5080" w:rsidRDefault="00F10323">
            <w:pPr>
              <w:keepNext/>
              <w:jc w:val="both"/>
            </w:pPr>
            <w:r>
              <w:t>3.</w:t>
            </w:r>
            <w:r>
              <w:tab/>
              <w:t>Оценка структуры собственного капитала российских банков в современных условиях.</w:t>
            </w:r>
          </w:p>
          <w:p w:rsidR="00BA5080" w:rsidRDefault="00F10323">
            <w:pPr>
              <w:keepNext/>
              <w:jc w:val="both"/>
            </w:pPr>
            <w:r>
              <w:t>4.</w:t>
            </w:r>
            <w:r>
              <w:tab/>
              <w:t>Методика Банка России по оценке достаточности собственного капитала</w:t>
            </w:r>
          </w:p>
          <w:p w:rsidR="00BA5080" w:rsidRDefault="00F10323">
            <w:pPr>
              <w:keepNext/>
              <w:jc w:val="both"/>
            </w:pPr>
            <w:r>
              <w:t>5.</w:t>
            </w:r>
            <w:r>
              <w:tab/>
              <w:t>Надбавки к нормативу достаточности собственного капитала.</w:t>
            </w:r>
          </w:p>
          <w:p w:rsidR="00BA5080" w:rsidRDefault="00F10323">
            <w:pPr>
              <w:keepNext/>
              <w:jc w:val="both"/>
            </w:pPr>
            <w:r>
              <w:t>6.</w:t>
            </w:r>
            <w:r>
              <w:tab/>
              <w:t>Методика Банка России и по оценке качества капитала банка (Указание №4336-У).</w:t>
            </w:r>
          </w:p>
          <w:p w:rsidR="00BA5080" w:rsidRDefault="00F10323">
            <w:pPr>
              <w:keepNext/>
              <w:jc w:val="both"/>
            </w:pPr>
            <w:r>
              <w:t>7. Подходы рейтинговых агентств к оценке качества собственного капитала банков.</w:t>
            </w:r>
          </w:p>
          <w:p w:rsidR="00BA5080" w:rsidRDefault="00BA5080">
            <w:pPr>
              <w:keepNext/>
              <w:jc w:val="both"/>
            </w:pP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tabs>
                <w:tab w:val="left" w:pos="3852"/>
              </w:tabs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1, 4, 6, 7, 9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рекомендуемая литература: 1, 3, 4</w:t>
            </w:r>
          </w:p>
          <w:p w:rsidR="00BA5080" w:rsidRDefault="00F10323">
            <w:pPr>
              <w:keepNext/>
              <w:ind w:left="136"/>
              <w:jc w:val="both"/>
            </w:pPr>
            <w:r>
              <w:rPr>
                <w:i/>
              </w:rPr>
              <w:t>Раздел 9:  1-4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Дискуссия по вопросам темы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ситуационных задач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Сбор количественных данных о качестве капитала банка с использованием портала банковского аналитика и других источников.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набора банков для проведения сравнительного анализа качества собственного капитала и его достаточности с использованием портала банковского аналитика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аналитических диаграмм и/или интерактивных панелей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Тема 6. Оценка рентабельности банка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</w:pPr>
            <w:r>
              <w:t>1.</w:t>
            </w:r>
            <w:r>
              <w:tab/>
              <w:t>Коэффициентный метод оценки уровня доходности и прибыльности банка.</w:t>
            </w:r>
          </w:p>
          <w:p w:rsidR="00BA5080" w:rsidRDefault="00F10323">
            <w:pPr>
              <w:keepNext/>
              <w:jc w:val="both"/>
            </w:pPr>
            <w:r>
              <w:t>2. Структурный анализ уровня прибыльности банка.</w:t>
            </w:r>
          </w:p>
          <w:p w:rsidR="00BA5080" w:rsidRDefault="00F10323">
            <w:pPr>
              <w:keepNext/>
              <w:jc w:val="both"/>
            </w:pPr>
            <w:r>
              <w:t xml:space="preserve">3. Подходы Банка России (Указание 4336-У) и рейтинговых агентств к оценке </w:t>
            </w:r>
            <w:r>
              <w:lastRenderedPageBreak/>
              <w:t>рентабельности банка.</w:t>
            </w:r>
          </w:p>
          <w:p w:rsidR="00BA5080" w:rsidRDefault="00BA5080">
            <w:pPr>
              <w:keepNext/>
              <w:jc w:val="both"/>
            </w:pP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6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рекомендуемая литература: 1, 4, 6</w:t>
            </w:r>
          </w:p>
          <w:p w:rsidR="00BA5080" w:rsidRDefault="00F10323">
            <w:pPr>
              <w:keepNext/>
              <w:jc w:val="both"/>
            </w:pPr>
            <w:r>
              <w:rPr>
                <w:i/>
              </w:rPr>
              <w:t>Раздел 9: 1-4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Дискуссия по вопросам темы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ситуационных задач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Сбор количественных данных о структуре доходов и расходов, уровне рентабельности банка с использованием портала банковского </w:t>
            </w:r>
            <w:r>
              <w:rPr>
                <w:sz w:val="24"/>
                <w:szCs w:val="24"/>
              </w:rPr>
              <w:lastRenderedPageBreak/>
              <w:t>аналитика и других источников.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набора банков для проведения сравнительного анализа их рентабельности с использованием портала банковского аналитика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аналитических диаграмм и/или интерактивных панелей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lastRenderedPageBreak/>
              <w:t>Тема 7. Оценка привлеченных и заемных ресурсов банка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</w:pPr>
            <w:r>
              <w:t>1.</w:t>
            </w:r>
            <w:r>
              <w:tab/>
              <w:t>Динамика структуры и динамики привлеченных и заемных ресурсов коммерческих банков.</w:t>
            </w:r>
          </w:p>
          <w:p w:rsidR="00BA5080" w:rsidRDefault="00F10323">
            <w:pPr>
              <w:keepNext/>
              <w:jc w:val="both"/>
            </w:pPr>
            <w:r>
              <w:t>2. Оценка уровня концентрации ресурсов (по категории клиентов, на крупнейших кредиторах, по типу источника, др.)</w:t>
            </w:r>
          </w:p>
          <w:p w:rsidR="00BA5080" w:rsidRDefault="00F10323">
            <w:pPr>
              <w:keepNext/>
              <w:jc w:val="both"/>
            </w:pPr>
            <w:r>
              <w:t>3. Оценка стабильности ресурсной базы банка.</w:t>
            </w:r>
          </w:p>
          <w:p w:rsidR="00BA5080" w:rsidRDefault="00F10323">
            <w:pPr>
              <w:keepNext/>
              <w:jc w:val="both"/>
            </w:pPr>
            <w:r>
              <w:t>4. Оценка стоимости ресурсной базы банка.</w:t>
            </w:r>
          </w:p>
          <w:p w:rsidR="00BA5080" w:rsidRDefault="00F10323">
            <w:pPr>
              <w:keepNext/>
              <w:jc w:val="both"/>
            </w:pPr>
            <w:r>
              <w:t>5. Подходы Банка России (Указание 4336-У) и рейтинговых агентств к оценке качества привлеченных и заемных ресурсов банка.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6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рекомендуемая литература: 1,</w:t>
            </w:r>
            <w:r>
              <w:rPr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i/>
                <w:sz w:val="24"/>
                <w:szCs w:val="24"/>
              </w:rPr>
              <w:t>2</w:t>
            </w: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jc w:val="both"/>
            </w:pPr>
            <w:r>
              <w:rPr>
                <w:i/>
              </w:rPr>
              <w:t>Раздел 9: 1-4</w:t>
            </w:r>
          </w:p>
          <w:p w:rsidR="00BA5080" w:rsidRDefault="00BA5080">
            <w:pPr>
              <w:keepNext/>
              <w:jc w:val="both"/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Дискуссия по вопросам темы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ситуационных задач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Сбор количественных данных о качестве привлеченных и заемных ресурсов банка с использованием портала банковского аналитика и других источников.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набора банков для проведения сравнительного анализа качества привлеченных и заемных ресурсов с использованием портала банковского аналитика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аналитических диаграмм и/или интерактивных панелей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Тема 8. Оценка ликвидности банка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both"/>
            </w:pPr>
            <w:r>
              <w:t>1. Особенности расчета норматива краткосрочной ликвидности Н26 (Н27) и норматива чистого стабильного фондирования Н28(29) для системно значимых банков (банковских групп)</w:t>
            </w:r>
          </w:p>
          <w:p w:rsidR="00BA5080" w:rsidRDefault="00F10323">
            <w:pPr>
              <w:keepNext/>
              <w:jc w:val="both"/>
            </w:pPr>
            <w:r>
              <w:t>2. Методы оценки уровня ликвидности банка.</w:t>
            </w:r>
          </w:p>
          <w:p w:rsidR="00BA5080" w:rsidRDefault="00F10323">
            <w:pPr>
              <w:keepNext/>
              <w:jc w:val="both"/>
            </w:pPr>
            <w:r>
              <w:t xml:space="preserve">3. Подходы Банка России (Указание 4336-У) и рейтинговых агентств к оценке </w:t>
            </w:r>
            <w:r>
              <w:lastRenderedPageBreak/>
              <w:t>ликвидности банка.</w:t>
            </w:r>
          </w:p>
          <w:p w:rsidR="00BA5080" w:rsidRDefault="00BA5080">
            <w:pPr>
              <w:keepNext/>
              <w:jc w:val="both"/>
            </w:pP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2, 3, 4, 6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рекомендуемая литература: 1, 4, 6</w:t>
            </w:r>
          </w:p>
          <w:p w:rsidR="00BA5080" w:rsidRDefault="00F10323">
            <w:pPr>
              <w:keepNext/>
              <w:jc w:val="both"/>
            </w:pPr>
            <w:r>
              <w:rPr>
                <w:i/>
              </w:rPr>
              <w:t>Раздел 9: 1-4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Решение ситуационных задач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Сбор количественных данных об уровне ликвидности банка с использованием портала банковского аналитика и других источников.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Построение набора </w:t>
            </w:r>
            <w:r>
              <w:rPr>
                <w:sz w:val="24"/>
                <w:szCs w:val="24"/>
              </w:rPr>
              <w:lastRenderedPageBreak/>
              <w:t>банков для проведения сравнительного анализа уровня их ликвидности с использованием портала банковского аналитика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Построение аналитических диаграмм и/или интерактивных панелей</w:t>
            </w:r>
          </w:p>
        </w:tc>
      </w:tr>
      <w:tr w:rsidR="00BA5080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lastRenderedPageBreak/>
              <w:t>Тема 9. Комплексная оценка финансовой устойчивости банка и прогноз ее изменения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tabs>
                <w:tab w:val="left" w:pos="395"/>
              </w:tabs>
              <w:jc w:val="both"/>
            </w:pPr>
            <w:r>
              <w:t>1. Сравнительная характеристика надзорных методик оценки уровня финансовой устойчивости банков.</w:t>
            </w:r>
          </w:p>
          <w:p w:rsidR="00BA5080" w:rsidRDefault="00F10323">
            <w:r>
              <w:t>2. Особенности методик российских и зарубежных рейтинговых агентств к оценке уровня кредитоспособности банков.</w:t>
            </w:r>
          </w:p>
          <w:p w:rsidR="00BA5080" w:rsidRDefault="00F10323">
            <w:r>
              <w:t>3. Возможности приложений для бизнес-аналитики по визуализации данных о финансовой устойчивости банков.</w:t>
            </w:r>
          </w:p>
          <w:p w:rsidR="00BA5080" w:rsidRDefault="00BA5080">
            <w:pPr>
              <w:keepNext/>
              <w:jc w:val="both"/>
            </w:pP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Рекомендуемые источники</w:t>
            </w:r>
          </w:p>
          <w:p w:rsidR="00BA5080" w:rsidRDefault="00F10323">
            <w:pPr>
              <w:keepNext/>
              <w:ind w:firstLine="119"/>
              <w:jc w:val="both"/>
              <w:rPr>
                <w:i/>
              </w:rPr>
            </w:pPr>
            <w:r>
              <w:rPr>
                <w:i/>
              </w:rPr>
              <w:t>Раздел 8: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нормативно-правовые акты: 6, 8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2"/>
              </w:num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рекомендуемая литература: </w:t>
            </w:r>
            <w:r>
              <w:rPr>
                <w:i/>
                <w:sz w:val="24"/>
                <w:szCs w:val="24"/>
                <w:lang w:val="en-US"/>
              </w:rPr>
              <w:t>1</w:t>
            </w:r>
          </w:p>
          <w:p w:rsidR="00BA5080" w:rsidRDefault="00F10323">
            <w:pPr>
              <w:keepNext/>
              <w:jc w:val="both"/>
              <w:rPr>
                <w:i/>
              </w:rPr>
            </w:pPr>
            <w:r>
              <w:rPr>
                <w:i/>
              </w:rPr>
              <w:t>Раздел 9: 1-7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дебатов по вопросу о возможности применения эконометрических моделей для выявления потенциально слабых банков</w:t>
            </w:r>
          </w:p>
          <w:p w:rsidR="00BA5080" w:rsidRDefault="00F10323">
            <w:pPr>
              <w:pStyle w:val="afd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Защита ДТЗ по оценке финансовой устойчивости банков.</w:t>
            </w:r>
          </w:p>
        </w:tc>
      </w:tr>
    </w:tbl>
    <w:p w:rsidR="00BA5080" w:rsidRDefault="00BA5080">
      <w:pPr>
        <w:spacing w:line="360" w:lineRule="auto"/>
        <w:ind w:firstLine="709"/>
        <w:jc w:val="both"/>
        <w:rPr>
          <w:sz w:val="28"/>
          <w:szCs w:val="28"/>
        </w:rPr>
      </w:pPr>
    </w:p>
    <w:p w:rsidR="00BA5080" w:rsidRDefault="00BA5080">
      <w:pPr>
        <w:spacing w:line="360" w:lineRule="auto"/>
        <w:ind w:firstLine="709"/>
        <w:jc w:val="both"/>
        <w:rPr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181559391"/>
      <w:r>
        <w:rPr>
          <w:rFonts w:ascii="Times New Roman" w:hAnsi="Times New Roman" w:cs="Times New Roman"/>
          <w:b/>
          <w:color w:val="auto"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  <w:bookmarkEnd w:id="15"/>
    </w:p>
    <w:p w:rsidR="00BA5080" w:rsidRDefault="00F10323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6" w:name="_Toc181559392"/>
      <w:r>
        <w:rPr>
          <w:rFonts w:ascii="Times New Roman" w:hAnsi="Times New Roman" w:cs="Times New Roman"/>
          <w:b/>
          <w:color w:val="auto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6"/>
    </w:p>
    <w:p w:rsidR="00BA5080" w:rsidRDefault="00F10323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362"/>
        <w:gridCol w:w="3737"/>
        <w:gridCol w:w="3246"/>
      </w:tblGrid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  <w:jc w:val="center"/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Перечень вопросов, отводимых на самостоятельное освоение</w:t>
            </w: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Формы внеаудиторной самостоятельной работы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1. Содержание и факторы финансовой устойчивости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Соотношение понятий «устойчивости», «стабильность» и «надежность» банка.</w:t>
            </w:r>
          </w:p>
          <w:p w:rsidR="00BA5080" w:rsidRDefault="00F10323">
            <w:r>
              <w:t>2.  Факторы финансовой устойчивости банков и оценка их значимости (по материалам современных эконометрических исследований)</w:t>
            </w: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рекомендованной литературы;</w:t>
            </w:r>
          </w:p>
          <w:p w:rsidR="00BA5080" w:rsidRDefault="00F10323">
            <w:r>
              <w:t xml:space="preserve"> - изучение современных публикаций по вопросам темы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 xml:space="preserve">Тема 2. Методические и </w:t>
            </w:r>
            <w:r>
              <w:lastRenderedPageBreak/>
              <w:t>организационные основы финансовой устойчивости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lastRenderedPageBreak/>
              <w:t xml:space="preserve">1. Организация работы Банка России по оценке финансовой </w:t>
            </w:r>
            <w:r>
              <w:lastRenderedPageBreak/>
              <w:t>устойчивости поднадзорных банков и банковских групп (нормативная база, задействованные подразделения, источники информации, направления анализа)</w:t>
            </w:r>
          </w:p>
          <w:p w:rsidR="00BA5080" w:rsidRDefault="00F10323">
            <w:pPr>
              <w:keepNext/>
            </w:pPr>
            <w:r>
              <w:t>2. Организация деятельности рейтинговых агентств по оценке кредитоспособности банков.</w:t>
            </w:r>
          </w:p>
          <w:p w:rsidR="00BA5080" w:rsidRDefault="00BA5080">
            <w:pPr>
              <w:keepNext/>
            </w:pPr>
          </w:p>
          <w:p w:rsidR="00BA5080" w:rsidRDefault="00BA5080">
            <w:pPr>
              <w:keepNext/>
            </w:pPr>
          </w:p>
          <w:p w:rsidR="00BA5080" w:rsidRDefault="00BA5080">
            <w:pPr>
              <w:tabs>
                <w:tab w:val="left" w:pos="1155"/>
              </w:tabs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lastRenderedPageBreak/>
              <w:t>- изучение рекомендованной литературы;</w:t>
            </w:r>
          </w:p>
          <w:p w:rsidR="00BA5080" w:rsidRDefault="00F10323">
            <w:pPr>
              <w:keepNext/>
            </w:pPr>
            <w:r>
              <w:lastRenderedPageBreak/>
              <w:t xml:space="preserve"> - изучение современных публикаций по вопросам темы</w:t>
            </w:r>
          </w:p>
          <w:p w:rsidR="00BA5080" w:rsidRDefault="00F10323">
            <w:pPr>
              <w:keepNext/>
            </w:pPr>
            <w:r>
              <w:t>- изучение финансовой отчетности банка;</w:t>
            </w:r>
          </w:p>
          <w:p w:rsidR="00BA5080" w:rsidRDefault="00F10323">
            <w:pPr>
              <w:keepNext/>
            </w:pPr>
            <w:r>
              <w:t>- изучение структуры пояснительной записки к финансовой отчетности (по РСБУ и МСФО)</w:t>
            </w:r>
          </w:p>
          <w:p w:rsidR="00BA5080" w:rsidRDefault="00F10323">
            <w:pPr>
              <w:keepNext/>
            </w:pPr>
            <w:r>
              <w:t xml:space="preserve"> - изучение структуры методик кредитных рейтинговых агентств;</w:t>
            </w:r>
          </w:p>
          <w:p w:rsidR="00BA5080" w:rsidRDefault="00F10323">
            <w:pPr>
              <w:keepNext/>
            </w:pPr>
            <w:r>
              <w:t>- изучение дополнительных источников данных о банках (портал арбитражных дел kad.arbitr.ru, центр раскрытия корпоративной информации e-disclosure.ru и др.)</w:t>
            </w:r>
          </w:p>
        </w:tc>
      </w:tr>
      <w:tr w:rsidR="00BA5080">
        <w:trPr>
          <w:trHeight w:val="2526"/>
        </w:trPr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lastRenderedPageBreak/>
              <w:t>Тема 3. Нефинансовые факторы финансовой устойчивости банка и их оценка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Способы оценки уровня концентрации деловой активности банков на одном или нескольких направлениях (по видам услуг, клиентской группе, регионам присутствия).</w:t>
            </w:r>
          </w:p>
          <w:p w:rsidR="00BA5080" w:rsidRDefault="00F10323">
            <w:pPr>
              <w:keepNext/>
            </w:pPr>
            <w:r>
              <w:t>2. Сравнительная характеристика методик агентств АКРА, Эксперт РА, НКР и НРА по оценке нефинансовых факторов.</w:t>
            </w:r>
          </w:p>
          <w:p w:rsidR="00BA5080" w:rsidRDefault="00BA5080">
            <w:pPr>
              <w:rPr>
                <w:b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литературы;</w:t>
            </w:r>
          </w:p>
          <w:p w:rsidR="00BA5080" w:rsidRDefault="00F10323">
            <w:r>
              <w:t>- изучение нормативных документов;</w:t>
            </w:r>
          </w:p>
          <w:p w:rsidR="00BA5080" w:rsidRDefault="00F10323">
            <w:r>
              <w:t xml:space="preserve"> - изучение методик кредитных рейтинговых агентств;</w:t>
            </w:r>
          </w:p>
          <w:p w:rsidR="00BA5080" w:rsidRDefault="00F10323">
            <w:pPr>
              <w:keepNext/>
            </w:pPr>
            <w:r>
              <w:t>- выбор банка для проведения оценки его финансовой устойчивости с использованием цифровых технологий (analizbankov.ru, cbr.ru)</w:t>
            </w:r>
          </w:p>
          <w:p w:rsidR="00BA5080" w:rsidRDefault="00F10323">
            <w:pPr>
              <w:keepNext/>
            </w:pPr>
            <w: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(YouGile, Яндекс Документы, VK звонки)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4. Оценка качества активов банка и его рисков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Подходы ЕЦБ к оценке устойчивости европейских банков в части активов банков и уровня принятых ими рисков.</w:t>
            </w:r>
          </w:p>
          <w:p w:rsidR="00BA5080" w:rsidRDefault="00F10323">
            <w:pPr>
              <w:keepNext/>
            </w:pPr>
            <w:r>
              <w:t>2. Сравнительная характеристика методик агентств АКРА, Эксперт РА, НКР и НРА по оценке качества активов банка и уровня принятых рисков.</w:t>
            </w:r>
          </w:p>
          <w:p w:rsidR="00BA5080" w:rsidRDefault="00BA5080">
            <w:pPr>
              <w:keepNext/>
              <w:ind w:firstLine="283"/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литературы;</w:t>
            </w:r>
          </w:p>
          <w:p w:rsidR="00BA5080" w:rsidRDefault="00F10323">
            <w:r>
              <w:t>- изучение методики ЕЦБ по оценке кредитоспособности банков;</w:t>
            </w:r>
          </w:p>
          <w:p w:rsidR="00BA5080" w:rsidRDefault="00F10323">
            <w:r>
              <w:t xml:space="preserve"> - изучение методик кредитных рейтинговых агентств;</w:t>
            </w:r>
          </w:p>
          <w:p w:rsidR="00BA5080" w:rsidRDefault="00F10323">
            <w:r>
              <w:t>- сбор данных для выполнения ДТЗ (в части соответствующей темы), их обобщение в табличном редакторе;</w:t>
            </w:r>
          </w:p>
          <w:p w:rsidR="00BA5080" w:rsidRDefault="00F10323">
            <w:r>
              <w:t xml:space="preserve">- анализ собранных данных для их обработки, визуализации средствами </w:t>
            </w:r>
            <w:r>
              <w:lastRenderedPageBreak/>
              <w:t>специализированных приложений;</w:t>
            </w:r>
          </w:p>
          <w:p w:rsidR="00BA5080" w:rsidRDefault="00F10323">
            <w: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(YouGile, Яндекс Документы, VK звонки)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lastRenderedPageBreak/>
              <w:t>Тема 5. Оценка собственного капитала банка и его достаточности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Подходы ЕЦБ к оценке устойчивости европейских банков в части качества собственного капитала.</w:t>
            </w:r>
          </w:p>
          <w:p w:rsidR="00BA5080" w:rsidRDefault="00F10323">
            <w:pPr>
              <w:keepNext/>
            </w:pPr>
            <w:r>
              <w:t>2. Сравнительная характеристика методик агентств АКРА, Эксперт РА, НКР и НРА по оценке качества собственного капитала.</w:t>
            </w:r>
          </w:p>
          <w:p w:rsidR="00BA5080" w:rsidRDefault="00BA5080"/>
          <w:p w:rsidR="00BA5080" w:rsidRDefault="00BA5080">
            <w:pPr>
              <w:keepNext/>
              <w:ind w:firstLine="283"/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литературы;</w:t>
            </w:r>
          </w:p>
          <w:p w:rsidR="00BA5080" w:rsidRDefault="00F10323">
            <w:r>
              <w:t>- изучение методики ЕЦБ по оценке кредитоспособности банков;</w:t>
            </w:r>
          </w:p>
          <w:p w:rsidR="00BA5080" w:rsidRDefault="00F10323">
            <w:r>
              <w:t xml:space="preserve"> - изучение методик кредитных рейтинговых агентств;</w:t>
            </w:r>
          </w:p>
          <w:p w:rsidR="00BA5080" w:rsidRDefault="00F10323">
            <w:r>
              <w:t>- сбор данных для выполнения ДТЗ (в части соответствующей темы), их обобщение в табличном редакторе;</w:t>
            </w:r>
          </w:p>
          <w:p w:rsidR="00BA5080" w:rsidRDefault="00F10323">
            <w:r>
              <w:t>- анализ собранных данных для их обработки, визуализации средствами специализированных приложений;</w:t>
            </w:r>
          </w:p>
          <w:p w:rsidR="00BA5080" w:rsidRDefault="00F10323">
            <w: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(YouGile, Яндекс Документы, VK звонки)</w:t>
            </w:r>
          </w:p>
          <w:p w:rsidR="00BA5080" w:rsidRDefault="00BA5080"/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6. Оценка рентабельности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Подходы ЕЦБ к оценке устойчивости европейских банков в части уровня рентабельности.</w:t>
            </w:r>
          </w:p>
          <w:p w:rsidR="00BA5080" w:rsidRDefault="00F10323">
            <w:pPr>
              <w:keepNext/>
            </w:pPr>
            <w:r>
              <w:t>2. Сравнительная характеристика методик агентств АКРА, Эксперт РА, НКР и НРА по оценке рентабельности банков.</w:t>
            </w:r>
          </w:p>
          <w:p w:rsidR="00BA5080" w:rsidRDefault="00BA5080"/>
          <w:p w:rsidR="00BA5080" w:rsidRDefault="00BA5080">
            <w:pPr>
              <w:keepNext/>
              <w:ind w:firstLine="283"/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литературы;</w:t>
            </w:r>
          </w:p>
          <w:p w:rsidR="00BA5080" w:rsidRDefault="00F10323">
            <w:r>
              <w:t>- изучение методики ЕЦБ по оценке кредитоспособности банков;</w:t>
            </w:r>
          </w:p>
          <w:p w:rsidR="00BA5080" w:rsidRDefault="00F10323">
            <w:r>
              <w:t xml:space="preserve"> - изучение методик кредитных рейтинговых агентств;</w:t>
            </w:r>
          </w:p>
          <w:p w:rsidR="00BA5080" w:rsidRDefault="00F10323">
            <w:r>
              <w:t>- сбор данных для выполнения ДТЗ (в части соответствующей темы), их обобщение в табличном редакторе;</w:t>
            </w:r>
          </w:p>
          <w:p w:rsidR="00BA5080" w:rsidRDefault="00F10323">
            <w:r>
              <w:t>- анализ собранных данных для их обработки, визуализации средствами специализированных приложений;</w:t>
            </w:r>
          </w:p>
          <w:p w:rsidR="00BA5080" w:rsidRDefault="00F10323">
            <w:r>
              <w:lastRenderedPageBreak/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(YouGile, Яндекс Документы, VK звонки)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lastRenderedPageBreak/>
              <w:t>Тема 7. Оценка привлеченных и заемных ресурсов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Подходы ЕЦБ к оценке устойчивости европейских банков в части качества их привлеченных и заемных средств.</w:t>
            </w:r>
          </w:p>
          <w:p w:rsidR="00BA5080" w:rsidRDefault="00F10323">
            <w:pPr>
              <w:keepNext/>
            </w:pPr>
            <w:r>
              <w:t>2. Сравнительная характеристика методик агентств АКРА, Эксперт РА, НКР и НРА по оценке качества привлеченных и заемных средств банков.</w:t>
            </w:r>
          </w:p>
          <w:p w:rsidR="00BA5080" w:rsidRDefault="00BA5080"/>
          <w:p w:rsidR="00BA5080" w:rsidRDefault="00BA5080">
            <w:pPr>
              <w:keepNext/>
              <w:ind w:firstLine="283"/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литературы;</w:t>
            </w:r>
          </w:p>
          <w:p w:rsidR="00BA5080" w:rsidRDefault="00F10323">
            <w:r>
              <w:t>- изучение методики ЕЦБ по оценке кредитоспособности банков;</w:t>
            </w:r>
          </w:p>
          <w:p w:rsidR="00BA5080" w:rsidRDefault="00F10323">
            <w:r>
              <w:t xml:space="preserve"> - изучение методик кредитных рейтинговых агентств;</w:t>
            </w:r>
          </w:p>
          <w:p w:rsidR="00BA5080" w:rsidRDefault="00F10323">
            <w:r>
              <w:t>- сбор данных для выполнения ДТЗ (в части соответствующей темы), их обобщение в табличном редакторе;</w:t>
            </w:r>
          </w:p>
          <w:p w:rsidR="00BA5080" w:rsidRDefault="00F10323">
            <w:r>
              <w:t>- анализ собранных данных для их обработки, визуализации средствами специализированных приложений;</w:t>
            </w:r>
          </w:p>
          <w:p w:rsidR="00BA5080" w:rsidRDefault="00F10323">
            <w: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(YouGile, Яндекс Документы, VK звонки)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Тема 8. Оценка ликвидности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pPr>
              <w:keepNext/>
            </w:pPr>
            <w:r>
              <w:t>1. Подходы ЕЦБ к оценке устойчивости европейских банков в части уровня их ликвидности.</w:t>
            </w:r>
          </w:p>
          <w:p w:rsidR="00BA5080" w:rsidRDefault="00F10323">
            <w:pPr>
              <w:keepNext/>
            </w:pPr>
            <w:r>
              <w:t>2. Сравнительная характеристика методик агентств АКРА, Эксперт РА, НКР и НРА по оценке качества привлеченных и заемных средств банков.</w:t>
            </w:r>
          </w:p>
          <w:p w:rsidR="00BA5080" w:rsidRDefault="00F10323">
            <w:pPr>
              <w:keepNext/>
            </w:pPr>
            <w:r>
              <w:t>3. Стресс-тестирование как метод оценки ликвидности банка</w:t>
            </w:r>
          </w:p>
          <w:p w:rsidR="00BA5080" w:rsidRDefault="00BA5080"/>
          <w:p w:rsidR="00BA5080" w:rsidRDefault="00BA5080">
            <w:pPr>
              <w:keepNext/>
              <w:ind w:firstLine="283"/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изучение литературы;</w:t>
            </w:r>
          </w:p>
          <w:p w:rsidR="00BA5080" w:rsidRDefault="00F10323">
            <w:r>
              <w:t>- изучение методики ЕЦБ по оценке кредитоспособности банков;</w:t>
            </w:r>
          </w:p>
          <w:p w:rsidR="00BA5080" w:rsidRDefault="00F10323">
            <w:r>
              <w:t xml:space="preserve"> - изучение методик кредитных рейтинговых агентств;</w:t>
            </w:r>
          </w:p>
          <w:p w:rsidR="00BA5080" w:rsidRDefault="00F10323">
            <w:r>
              <w:t>- сбор данных для выполнения ДТЗ (в части соответствующей темы), их обобщение в табличном редакторе;</w:t>
            </w:r>
          </w:p>
          <w:p w:rsidR="00BA5080" w:rsidRDefault="00F10323">
            <w:r>
              <w:t>- анализ собранных данных для их обработки, визуализации средствами специализированных приложений;</w:t>
            </w:r>
          </w:p>
          <w:p w:rsidR="00BA5080" w:rsidRDefault="00F10323">
            <w:r>
              <w:t xml:space="preserve">- командная работа в мини-группах с использованием средств удаленной </w:t>
            </w:r>
            <w:r>
              <w:lastRenderedPageBreak/>
              <w:t>совместной работы для контактов студентов друг с другом и с преподавателем (YouGile, Яндекс Документы, VK звонки)</w:t>
            </w:r>
          </w:p>
        </w:tc>
      </w:tr>
      <w:tr w:rsidR="00BA5080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lastRenderedPageBreak/>
              <w:t xml:space="preserve">Тема 9. Комплексная оценка финансовой устойчивости банка и прогноз ее изменения 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A5080" w:rsidRDefault="00F10323">
            <w:r>
              <w:t>1. Сравнительная характеристика российских и зарубежных методик оценки финансовой устойчивости банков (органов надзор и рейтинговых агентств)</w:t>
            </w:r>
          </w:p>
          <w:p w:rsidR="00BA5080" w:rsidRDefault="00F10323">
            <w:r>
              <w:t>2. Возможности приложений для бизнес-аналитики (</w:t>
            </w:r>
            <w:r>
              <w:rPr>
                <w:lang w:val="en-US"/>
              </w:rPr>
              <w:t>Yandex</w:t>
            </w:r>
            <w:r>
              <w:t xml:space="preserve"> </w:t>
            </w:r>
            <w:r>
              <w:rPr>
                <w:lang w:val="en-US"/>
              </w:rPr>
              <w:t>DataLens</w:t>
            </w:r>
            <w:r>
              <w:t xml:space="preserve"> и </w:t>
            </w:r>
            <w:r>
              <w:rPr>
                <w:lang w:val="en-US"/>
              </w:rPr>
              <w:t>MS</w:t>
            </w:r>
            <w:r>
              <w:t xml:space="preserve"> </w:t>
            </w:r>
            <w:r>
              <w:rPr>
                <w:lang w:val="en-US"/>
              </w:rPr>
              <w:t>Power</w:t>
            </w:r>
            <w:r>
              <w:t xml:space="preserve"> </w:t>
            </w:r>
            <w:r>
              <w:rPr>
                <w:lang w:val="en-US"/>
              </w:rPr>
              <w:t>BI</w:t>
            </w:r>
            <w:r>
              <w:t xml:space="preserve"> </w:t>
            </w:r>
            <w:r>
              <w:rPr>
                <w:lang w:val="en-US"/>
              </w:rPr>
              <w:t>Desktop</w:t>
            </w:r>
            <w:r>
              <w:t>) по решению задач прогнозирования.</w:t>
            </w: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r>
              <w:t>- разработка и построение аналитических диаграмм и/или аналитических панелей для представления результатов ДТЗ по оценке устойчивости выбранного банка</w:t>
            </w:r>
          </w:p>
          <w:p w:rsidR="00BA5080" w:rsidRDefault="00F10323">
            <w: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(YouGile, Яндекс Документы, VK звонки)</w:t>
            </w:r>
          </w:p>
        </w:tc>
      </w:tr>
    </w:tbl>
    <w:p w:rsidR="00BA5080" w:rsidRDefault="00BA5080">
      <w:pPr>
        <w:keepNext/>
        <w:jc w:val="both"/>
        <w:rPr>
          <w:b/>
          <w:sz w:val="28"/>
          <w:szCs w:val="28"/>
        </w:rPr>
      </w:pPr>
    </w:p>
    <w:p w:rsidR="00BA5080" w:rsidRDefault="00F10323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7" w:name="_Toc181559393"/>
      <w:r>
        <w:rPr>
          <w:rFonts w:ascii="Times New Roman" w:hAnsi="Times New Roman" w:cs="Times New Roman"/>
          <w:b/>
          <w:color w:val="auto"/>
          <w:sz w:val="28"/>
          <w:szCs w:val="28"/>
        </w:rPr>
        <w:t>6.2. Перечень вопросов, заданий, тем для подготовки к текущему контролю</w:t>
      </w:r>
      <w:bookmarkEnd w:id="17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BA5080" w:rsidRDefault="00F10323">
      <w:pPr>
        <w:pStyle w:val="af5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 xml:space="preserve"> Домашнее творческое задание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Домашнее творческое задание (далее – ДТЗ) является формой текущего контроля и предполагает написание аналитической записки о финансовом состоянии выбранного банка по итогам выполненных расчетов. Выполнение данного задания потребует от студентов изучения всех тем учебно-тематического плана, т.о. успешное выполнение этой работы свидетельствует о высокой степени усвоения пройденного материала.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Целью является закрепление знаний, полученных в ходе изучения дисциплины, формирование навыков самостоятельной аналитической работы, формулирования аргументированных выводов и предложений.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Особенностями выполнения данного задания являются высокая степень самостоятельности, умение проводить селекцию и обобщение информации финансового и нефинансового характера в целях проведения оценки финансового состояния банка, давать сравнительную оценку полученных данных по анализируемому банку с другими кредитными организациями, входящими в однородный кластер.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 xml:space="preserve">В рамках выполнения ДТЗ обучающемуся (индивидуально или в составе мини-команды из 2-5 человек по усмотрению преподавателя) необходимо проанализировать и дать оценку финансового состояния коммерческого банка на основе открытых источников информации (финансовая отчетность, пояснительная записка, годовые отчеты и т.п.). 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 xml:space="preserve">Работа выполняется на материалах одного из российских банков. По согласованию с преподавателем возможен выбор зарубежного банка. Выбор банков для изучения осуществляется преподавателем с учетом пожеланий студентов. 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Основные компоненты задания: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Проведите анализ рыночных позиций и диверсификации бизнеса выбранного российского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Оцените качество управления и стратегию по открытым данным российского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Найдите информацию о структуре собственности банка и деловой репутации российского банка и оцените их влияние на уровень финансовой устойчивости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Соберите необходимые данные и проведите горизонтальный и вертикальный анализ активов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На основании данных российского банка посчитаете и оцените значения показателей качества кредитного портфеля.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степень диверсификации кредитного портфеля российского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Обобщите данные о структуре капитала российского банка, посчитайте нормативы достаточности капитала.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Посчитайте коэффициент усредненной генерации капитала российского банка и дайте ему оценку.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источники прироста капитала выбранного российского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Соберите данные о структуре доходов российского банка и оцените степень их диверсификации.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уровень рентабельности выбранного российского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диверсификации ресурсной базы выбранного российского банка.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Рассчитайте показатели качества привлеченных и заемных средств российского банка и дайте им оценку.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зависимости российского банка от привлечения межбанковских кредитов Банка России.</w:t>
      </w:r>
    </w:p>
    <w:p w:rsidR="00BA5080" w:rsidRDefault="00F10323">
      <w:pPr>
        <w:pStyle w:val="af5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По итогам проведенных расчетов сделайте комплексный вывод об уровне финансовой устойчивости выбранного российского банка и подготовьте аналитическую записку.</w:t>
      </w:r>
    </w:p>
    <w:p w:rsidR="00BA5080" w:rsidRDefault="00F10323">
      <w:pPr>
        <w:pStyle w:val="af5"/>
        <w:spacing w:line="360" w:lineRule="auto"/>
        <w:ind w:firstLine="709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Проведение дебатов 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Для участия в дебатах студенты группы делятся на 2 команды, примерно равные по численности. В каждой команде выбирается капитан, отвечающий за обобщение собранных членами команды материалов и выдвинутых ими аргументов, а также за общение с преподавателем, ведущим семинарские занятия.</w:t>
      </w:r>
    </w:p>
    <w:p w:rsidR="00BA5080" w:rsidRDefault="00F10323">
      <w:pPr>
        <w:pStyle w:val="af5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Распределение обязанностей в команде остается на усмотрение студентов. Рекомендуется выделить 2-3 человек для поиска материалов. Собранные материалы распределяются для внимательного и критического чтения между всеми участниками команды. Каждый участник команды готовит (независимо друг от друга) аргументы в защиту позиции и контраргументы (вопросы) к точке зрения оппонентов. Затем все обмениваются идеями. Капитан команды обобщает их и готовит проект выступления. Все члены команды выбирают наиболее удачные вопросы для участия в дискуссии.</w:t>
      </w:r>
    </w:p>
    <w:p w:rsidR="00BA5080" w:rsidRDefault="00F10323">
      <w:pPr>
        <w:tabs>
          <w:tab w:val="left" w:pos="-180"/>
        </w:tabs>
        <w:spacing w:line="360" w:lineRule="exact"/>
        <w:ind w:right="70"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балльной оценки различных форм текущего контроля успеваемости</w:t>
      </w:r>
    </w:p>
    <w:p w:rsidR="00BA5080" w:rsidRDefault="00F10323">
      <w:pPr>
        <w:tabs>
          <w:tab w:val="left" w:pos="-180"/>
        </w:tabs>
        <w:spacing w:line="360" w:lineRule="exact"/>
        <w:ind w:right="70" w:firstLine="720"/>
        <w:jc w:val="both"/>
        <w:rPr>
          <w:sz w:val="28"/>
          <w:szCs w:val="28"/>
        </w:rPr>
      </w:pPr>
      <w:bookmarkStart w:id="18" w:name="_Hlk107308365"/>
      <w:r>
        <w:rPr>
          <w:sz w:val="28"/>
          <w:szCs w:val="28"/>
        </w:rPr>
        <w:t xml:space="preserve">Критерии балльной оценки различных форм текущего контроля </w:t>
      </w:r>
      <w:r>
        <w:rPr>
          <w:sz w:val="28"/>
          <w:szCs w:val="28"/>
        </w:rPr>
        <w:lastRenderedPageBreak/>
        <w:t>успеваемости содержатся в соответствующих методических рекомендациях кафедры банковского дела и монетарного регулирования.</w:t>
      </w:r>
      <w:bookmarkEnd w:id="18"/>
    </w:p>
    <w:p w:rsidR="00BA5080" w:rsidRDefault="00BA5080">
      <w:pPr>
        <w:pStyle w:val="af5"/>
        <w:jc w:val="both"/>
        <w:rPr>
          <w:b w:val="0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9" w:name="_Toc181559394"/>
      <w:r>
        <w:rPr>
          <w:rFonts w:ascii="Times New Roman" w:hAnsi="Times New Roman" w:cs="Times New Roman"/>
          <w:b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  <w:bookmarkEnd w:id="19"/>
    </w:p>
    <w:p w:rsidR="00BA5080" w:rsidRDefault="00F10323">
      <w:pPr>
        <w:spacing w:line="360" w:lineRule="exact"/>
        <w:ind w:firstLine="708"/>
        <w:jc w:val="both"/>
        <w:rPr>
          <w:sz w:val="28"/>
          <w:szCs w:val="20"/>
        </w:rPr>
        <w:sectPr w:rsidR="00BA5080">
          <w:headerReference w:type="default" r:id="rId8"/>
          <w:footerReference w:type="default" r:id="rId9"/>
          <w:pgSz w:w="11906" w:h="16838"/>
          <w:pgMar w:top="765" w:right="850" w:bottom="1134" w:left="1701" w:header="708" w:footer="708" w:gutter="0"/>
          <w:cols w:space="720"/>
          <w:formProt w:val="0"/>
          <w:docGrid w:linePitch="360"/>
        </w:sectPr>
      </w:pPr>
      <w:r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  <w:r>
        <w:t xml:space="preserve">                                                                                                 </w:t>
      </w:r>
    </w:p>
    <w:p w:rsidR="00BA5080" w:rsidRDefault="00F10323">
      <w:pPr>
        <w:spacing w:line="360" w:lineRule="exact"/>
        <w:ind w:firstLine="708"/>
        <w:jc w:val="right"/>
        <w:rPr>
          <w:sz w:val="28"/>
          <w:szCs w:val="20"/>
        </w:rPr>
      </w:pPr>
      <w:r>
        <w:rPr>
          <w:sz w:val="28"/>
          <w:szCs w:val="20"/>
        </w:rPr>
        <w:lastRenderedPageBreak/>
        <w:t xml:space="preserve"> Таблица 5</w:t>
      </w:r>
    </w:p>
    <w:tbl>
      <w:tblPr>
        <w:tblStyle w:val="13"/>
        <w:tblW w:w="1508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274"/>
        <w:gridCol w:w="2323"/>
        <w:gridCol w:w="2152"/>
        <w:gridCol w:w="8334"/>
      </w:tblGrid>
      <w:tr w:rsidR="00BA5080"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Наименование компетенции</w:t>
            </w:r>
          </w:p>
        </w:tc>
        <w:tc>
          <w:tcPr>
            <w:tcW w:w="2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Наименование индикаторов</w:t>
            </w:r>
            <w:r>
              <w:rPr>
                <w:b/>
                <w:bCs/>
              </w:rPr>
              <w:br/>
              <w:t xml:space="preserve">достижения </w:t>
            </w:r>
            <w:r>
              <w:rPr>
                <w:b/>
                <w:bCs/>
              </w:rPr>
              <w:br/>
              <w:t>компетенции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8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rPr>
                <w:b/>
                <w:bCs/>
              </w:rPr>
            </w:pPr>
            <w:r>
              <w:rPr>
                <w:b/>
                <w:bCs/>
              </w:rPr>
              <w:t>Типовые</w:t>
            </w:r>
            <w:r>
              <w:rPr>
                <w:b/>
                <w:bCs/>
              </w:rPr>
              <w:br/>
              <w:t>контрольные</w:t>
            </w:r>
            <w:r>
              <w:rPr>
                <w:b/>
                <w:bCs/>
              </w:rPr>
              <w:br/>
              <w:t>задания</w:t>
            </w:r>
          </w:p>
        </w:tc>
      </w:tr>
      <w:tr w:rsidR="00BA5080">
        <w:tc>
          <w:tcPr>
            <w:tcW w:w="2274" w:type="dxa"/>
            <w:tcBorders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ПК-2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Способность определять и декомпозировать цели и задачи подразделения – «Блок риски» в соответствии со стратегическими целями банка</w:t>
            </w:r>
          </w:p>
        </w:tc>
        <w:tc>
          <w:tcPr>
            <w:tcW w:w="2323" w:type="dxa"/>
            <w:tcBorders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Устанавливает предел допустимого риска с учетом изменяющихся внешних факторов и существенности риска для конкретного банка или иного участника финансового рынка.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2. Обосновывает допустимый, пороговый уровень риска для стратегического уровня и его декомпозиция в разрезе отдельных видов и зон риска.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3. Осуществляет оценку рисковых ситуаций, тестирует и верифицирует методики оценки уровня (пороговых значений, условных зон) рисков в разрезе отдельных видов</w:t>
            </w:r>
          </w:p>
        </w:tc>
        <w:tc>
          <w:tcPr>
            <w:tcW w:w="2152" w:type="dxa"/>
            <w:tcBorders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lastRenderedPageBreak/>
              <w:t>1.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методы оценки различных банковских рисков;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>2.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методы прогнозирования величины базовых индикаторов финансового состояния банка,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</w:t>
            </w:r>
            <w:r>
              <w:rPr>
                <w:bCs/>
              </w:rPr>
              <w:tab/>
              <w:t xml:space="preserve">использовать полученные знания для определения </w:t>
            </w:r>
            <w:r>
              <w:rPr>
                <w:bCs/>
              </w:rPr>
              <w:lastRenderedPageBreak/>
              <w:t>перспектив деятельности банка, ставить и формализовать задачи по повышению уровня его финансовой устойчивости.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особенности российских и зарубежных моделей оценки финансовой устойчивости банков, применяемых органами банковского надзора,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применять современный математический инструментарий для количественной оценки рисков банка и выбора способов из минимизации</w:t>
            </w:r>
          </w:p>
        </w:tc>
        <w:tc>
          <w:tcPr>
            <w:tcW w:w="8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На основании нижеприведенных данных о значениях и динамике показателей процентного риска в структуре риск-аппетита АО «АЛЬФА-БАНК» необходимо: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1) определить сходства и отличия различных индикаторов, применяемых банком для измерения величины и ограничения уровня процентного риска;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 xml:space="preserve">2) проанализировать динамику показателей процентного риска; 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3) предположить возможные причины изменения расчетных значений показателей процентного риска;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4) определить запас прочности для соблюдения показателей процентного риска.</w:t>
            </w: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4415155" cy="847090"/>
                  <wp:effectExtent l="0" t="0" r="0" b="0"/>
                  <wp:docPr id="1" name="Рисунок 194348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94348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15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491990" cy="1407795"/>
                  <wp:effectExtent l="0" t="0" r="0" b="0"/>
                  <wp:docPr id="2" name="Рисунок 2120334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120334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990" cy="140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4373880" cy="2048510"/>
                  <wp:effectExtent l="0" t="0" r="0" b="0"/>
                  <wp:docPr id="3" name="Рисунок 320904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20904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880" cy="204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596640" cy="910590"/>
                  <wp:effectExtent l="0" t="0" r="0" b="0"/>
                  <wp:docPr id="4" name="Рисунок 806721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806721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640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539615" cy="2532380"/>
                  <wp:effectExtent l="0" t="0" r="0" b="0"/>
                  <wp:docPr id="5" name="Рисунок 6001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6001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9615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476625" cy="880745"/>
                  <wp:effectExtent l="0" t="0" r="0" b="0"/>
                  <wp:docPr id="6" name="Рисунок 1724436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724436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88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396740" cy="2148205"/>
                  <wp:effectExtent l="0" t="0" r="0" b="0"/>
                  <wp:docPr id="7" name="Рисунок 233134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233134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6740" cy="214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457575" cy="871855"/>
                  <wp:effectExtent l="0" t="0" r="0" b="0"/>
                  <wp:docPr id="8" name="Рисунок 867514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67514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Рассчитать</w:t>
            </w:r>
            <w:r>
              <w:rPr>
                <w:bCs/>
              </w:rPr>
              <w:t xml:space="preserve"> норматив достаточности базового капитала (Н1.1) по данным таблицы 1, а также </w:t>
            </w:r>
            <w:r>
              <w:rPr>
                <w:bCs/>
                <w:u w:val="single"/>
              </w:rPr>
              <w:t>определить</w:t>
            </w:r>
            <w:r>
              <w:rPr>
                <w:bCs/>
              </w:rPr>
              <w:t xml:space="preserve"> уровень совокупного риска, который может принять при условии соблюдения норматива достаточности базового капитала и надбавок к капиталу. Допустим, что ниже приведены данные по системно значимому банку.</w:t>
            </w: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Таблица 1. Данные для оценки достаточности базового капитала (млн. руб.)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3403"/>
              <w:gridCol w:w="980"/>
            </w:tblGrid>
            <w:tr w:rsidR="00BA5080">
              <w:tc>
                <w:tcPr>
                  <w:tcW w:w="1446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Основной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Собственный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237 993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Ар11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Ар12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Ар10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Ар21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lastRenderedPageBreak/>
                    <w:t>Ар22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Ар20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Ар31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Ар32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Ар30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Ар41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Ар42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Ар40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Ар51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Ар52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Ар50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8807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Ипотека с достаточным обеспечением</w:t>
                  </w:r>
                  <w:r>
                    <w:rPr>
                      <w:rStyle w:val="a9"/>
                      <w:spacing w:val="-2"/>
                      <w:sz w:val="18"/>
                      <w:szCs w:val="18"/>
                    </w:rPr>
                    <w:footnoteReference w:id="3"/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БК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Активы, предусматривающие применение повышенных требований по покрытию капиталом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6 920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BA5080" w:rsidRDefault="00F10323">
                  <w:pPr>
                    <w:jc w:val="center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Корректировка на суммы, включаемые дважды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ПКр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Потребительские кредиты (без обеспечения)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208 621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 xml:space="preserve">Требования к связанным лицам 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52 217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BA5080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BA5080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Операции с повышенными коэффициентами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3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условным обязательствам кредитного характера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BA5080" w:rsidRDefault="00BA5080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КРС (код 8811)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срочным сделкам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13 158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РСК (код 8866)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риска изменения стоимости кредитного требования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ОР (код 8942)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Операционный риск (с учетом коэффициента 12,5)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11 410</w:t>
                  </w:r>
                </w:p>
              </w:tc>
            </w:tr>
            <w:tr w:rsidR="00BA5080">
              <w:tc>
                <w:tcPr>
                  <w:tcW w:w="1446" w:type="dxa"/>
                  <w:vAlign w:val="center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РР (код 8812)</w:t>
                  </w:r>
                </w:p>
              </w:tc>
              <w:tc>
                <w:tcPr>
                  <w:tcW w:w="3403" w:type="dxa"/>
                </w:tcPr>
                <w:p w:rsidR="00BA5080" w:rsidRDefault="00F10323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Рыночный риск</w:t>
                  </w:r>
                </w:p>
              </w:tc>
              <w:tc>
                <w:tcPr>
                  <w:tcW w:w="980" w:type="dxa"/>
                  <w:vAlign w:val="center"/>
                </w:tcPr>
                <w:p w:rsidR="00BA5080" w:rsidRDefault="00F1032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170 601</w:t>
                  </w:r>
                </w:p>
              </w:tc>
            </w:tr>
          </w:tbl>
          <w:p w:rsidR="00BA5080" w:rsidRDefault="00BA5080">
            <w:pPr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jc w:val="center"/>
              <w:rPr>
                <w:b/>
              </w:rPr>
            </w:pPr>
          </w:p>
          <w:p w:rsidR="00BA5080" w:rsidRDefault="00F10323">
            <w:pPr>
              <w:tabs>
                <w:tab w:val="right" w:leader="dot" w:pos="9345"/>
              </w:tabs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BA5080" w:rsidRDefault="00F10323">
            <w:pPr>
              <w:tabs>
                <w:tab w:val="left" w:pos="540"/>
              </w:tabs>
              <w:ind w:firstLine="513"/>
              <w:contextualSpacing/>
              <w:jc w:val="both"/>
            </w:pPr>
            <w:r>
              <w:rPr>
                <w:bCs/>
              </w:rPr>
              <w:t>Используя данные официальной финансовой отчетности ПАО Московский кредитный банк (</w:t>
            </w:r>
            <w:hyperlink r:id="rId17">
              <w:r>
                <w:rPr>
                  <w:bCs/>
                </w:rPr>
                <w:t>http://www.e-disclosure.ru/portal/company.aspx?id=202</w:t>
              </w:r>
            </w:hyperlink>
            <w:r>
              <w:rPr>
                <w:bCs/>
              </w:rPr>
              <w:t>), информация о принимаемых рисках, процедурах их оценки, управления рисками и капиталом банка, а также иные релевантные источники информации проведите оценку качества его активов и кредитного портфеля.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рассчитать долю работающих активов, а также показатели уровня кредитного риска;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диверсификации кредитного портфеля;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активов.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BA5080" w:rsidRDefault="00F10323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rPr>
                <w:bCs/>
              </w:rPr>
              <w:t>Используя доступные данные финансовой отчетности КБ «Центр-Инвест», проведите оценку качества его привлеченных и заемных средств.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 xml:space="preserve"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кредиторов);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риска ликвидности банка;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ресурсной базы.</w:t>
            </w:r>
          </w:p>
          <w:p w:rsidR="00BA5080" w:rsidRDefault="00BA5080">
            <w:pPr>
              <w:tabs>
                <w:tab w:val="right" w:leader="dot" w:pos="9345"/>
              </w:tabs>
              <w:rPr>
                <w:b/>
              </w:rPr>
            </w:pPr>
          </w:p>
          <w:p w:rsidR="00BA5080" w:rsidRDefault="00BA5080">
            <w:pPr>
              <w:tabs>
                <w:tab w:val="right" w:leader="dot" w:pos="9345"/>
              </w:tabs>
              <w:rPr>
                <w:b/>
              </w:rPr>
            </w:pPr>
          </w:p>
        </w:tc>
      </w:tr>
      <w:tr w:rsidR="00BA5080">
        <w:tc>
          <w:tcPr>
            <w:tcW w:w="2274" w:type="dxa"/>
            <w:tcBorders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ПКН-2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Способность применять продвинутые современные инструменты и методы анализа финансово-кредитной сферы, финансов государственного и негосударственного секторов экономики для целей эффективного управления финансовыми ресурсами, решения проектно-экономических задач, в том числе, в </w:t>
            </w:r>
            <w:r>
              <w:lastRenderedPageBreak/>
              <w:t>условиях цифровой экономики и развития Финтеха, разработки механизмов монетарного и финансового регулирования, как на уровне отдельных организаций и институтов финансового рынка, так и на уровне публично-правовых образований</w:t>
            </w:r>
          </w:p>
        </w:tc>
        <w:tc>
          <w:tcPr>
            <w:tcW w:w="2323" w:type="dxa"/>
            <w:tcBorders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1. Владеет современными инструментами и методами анализа и регулирования финансов государственного и негосударственного секторов экономики, деятельности институтов финансово-кредитной сферы.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Демонстрирует способность решения проектно-экономических задач в профессиональной деятельности.</w:t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Демонстрирует освоение инструментов Финтеха.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4. Владеет методами анализа Big Date, использует их для решения профессиональных задач на микро-, мезо- и макроуровнях, в том </w:t>
            </w:r>
            <w:r>
              <w:lastRenderedPageBreak/>
              <w:t>числе на уровне финансового рынка</w:t>
            </w:r>
          </w:p>
        </w:tc>
        <w:tc>
          <w:tcPr>
            <w:tcW w:w="2152" w:type="dxa"/>
            <w:tcBorders>
              <w:left w:val="single" w:sz="4" w:space="0" w:color="000000"/>
              <w:bottom w:val="single" w:sz="4" w:space="0" w:color="000000"/>
            </w:tcBorders>
          </w:tcPr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lastRenderedPageBreak/>
              <w:t>1.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направления и методы анализа и оценки финансового состояния коммерческого банка;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>- возможности приложений для командной работы над проектами (YouGile, Яндекс Документы);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 xml:space="preserve">: - правильно интерпретировать значения рассчитанных показателей, оценивать их </w:t>
            </w:r>
            <w:r>
              <w:rPr>
                <w:bCs/>
              </w:rPr>
              <w:lastRenderedPageBreak/>
              <w:t>взаимную связь;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>2.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 xml:space="preserve">: - представлять результаты оценки финансовой устойчивости банков различным категориям пользователей (руководству банка, инвесторам, органам надзора) с </w:t>
            </w:r>
            <w:r>
              <w:rPr>
                <w:bCs/>
              </w:rPr>
              <w:lastRenderedPageBreak/>
              <w:t>применением традиционных программ и современных приложений для бизнес-аналитики.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>3.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 xml:space="preserve">: - теоретические </w:t>
            </w:r>
            <w:r>
              <w:rPr>
                <w:bCs/>
              </w:rPr>
              <w:lastRenderedPageBreak/>
              <w:t>основы применения современных цифровых технологий для проведения оценки финансовой устойчивости банков;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>4.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направления применения технологий больших данных и искусственного интеллекта для оценки финансовой устойчивости банков,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sz w:val="28"/>
                <w:szCs w:val="28"/>
              </w:rPr>
            </w:pPr>
            <w:r>
              <w:rPr>
                <w:bCs/>
              </w:rPr>
              <w:t xml:space="preserve"> - источники больших данных о </w:t>
            </w:r>
            <w:r>
              <w:rPr>
                <w:bCs/>
              </w:rPr>
              <w:lastRenderedPageBreak/>
              <w:t>финансовом и рыночном положении банка (analizbankov.ru, cbr.ru);</w:t>
            </w:r>
          </w:p>
          <w:p w:rsidR="00BA5080" w:rsidRDefault="00F10323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данные о финансовом состоянии банка для определения перспектив его развития;</w:t>
            </w:r>
          </w:p>
        </w:tc>
        <w:tc>
          <w:tcPr>
            <w:tcW w:w="8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5080" w:rsidRDefault="00F1032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BA5080" w:rsidRDefault="00F10323">
            <w:pPr>
              <w:tabs>
                <w:tab w:val="left" w:pos="540"/>
              </w:tabs>
              <w:ind w:firstLine="318"/>
              <w:contextualSpacing/>
              <w:jc w:val="both"/>
            </w:pPr>
            <w:r>
              <w:rPr>
                <w:bCs/>
              </w:rPr>
              <w:t>Используя имеющиеся данные, проведите оценку качества активов и кредитного портфеля крупного универсального банка.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рассчитать долю работающих активов (таблица 3), а также показатели рискованности кредитного портфеля (таблицы 2 и 3);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диверсификации кредитного портфеля; (таблица 1)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активов.</w:t>
            </w:r>
          </w:p>
          <w:p w:rsidR="00BA5080" w:rsidRDefault="00F10323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rPr>
                <w:bCs/>
              </w:rPr>
              <w:t>Основной капитал (I уровня) банка на 31.12.2015 составляет 151 млрд руб. По данным управленческой отчетности связанным сторонам выданы кредиты на общую сумму 170 млрд руб. (по состоянию на 31.12.2015).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 xml:space="preserve">Таблица 1.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Отраслевая структура корпоративных кредитов, на конец года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736"/>
              <w:gridCol w:w="2837"/>
              <w:gridCol w:w="707"/>
              <w:gridCol w:w="710"/>
              <w:gridCol w:w="839"/>
            </w:tblGrid>
            <w:tr w:rsidR="00BA5080">
              <w:tc>
                <w:tcPr>
                  <w:tcW w:w="736" w:type="dxa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2837" w:type="dxa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Торговля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70,4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114,3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12,2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19,1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63,7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Операции с недвижимым имуществом, аренда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11,1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15,1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47,8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lastRenderedPageBreak/>
                    <w:t>4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25,0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30,0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45,0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8,5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9,6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28,8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28,6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4,4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16,5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8,4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Электроэнергетика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0,1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2,5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57,8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92,4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136,8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Требования по операциям РЕПО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8,2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12,1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201,0</w:t>
                  </w:r>
                </w:p>
              </w:tc>
            </w:tr>
            <w:tr w:rsidR="00BA5080">
              <w:tc>
                <w:tcPr>
                  <w:tcW w:w="736" w:type="dxa"/>
                  <w:vAlign w:val="center"/>
                </w:tcPr>
                <w:p w:rsidR="00BA5080" w:rsidRDefault="00BA5080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837" w:type="dxa"/>
                  <w:vAlign w:val="center"/>
                </w:tcPr>
                <w:p w:rsidR="00BA5080" w:rsidRDefault="00F10323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корпоративные кредиты</w:t>
                  </w:r>
                </w:p>
              </w:tc>
              <w:tc>
                <w:tcPr>
                  <w:tcW w:w="707" w:type="dxa"/>
                  <w:vAlign w:val="center"/>
                </w:tcPr>
                <w:p w:rsidR="00BA5080" w:rsidRDefault="00F10323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207,7</w:t>
                  </w:r>
                </w:p>
              </w:tc>
              <w:tc>
                <w:tcPr>
                  <w:tcW w:w="710" w:type="dxa"/>
                  <w:vAlign w:val="center"/>
                </w:tcPr>
                <w:p w:rsidR="00BA5080" w:rsidRDefault="00F10323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260,8</w:t>
                  </w:r>
                </w:p>
              </w:tc>
              <w:tc>
                <w:tcPr>
                  <w:tcW w:w="839" w:type="dxa"/>
                  <w:vAlign w:val="center"/>
                </w:tcPr>
                <w:p w:rsidR="00BA5080" w:rsidRDefault="00F10323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693,2</w:t>
                  </w:r>
                </w:p>
              </w:tc>
            </w:tr>
          </w:tbl>
          <w:p w:rsidR="00BA5080" w:rsidRDefault="00F10323">
            <w:pPr>
              <w:tabs>
                <w:tab w:val="left" w:pos="540"/>
              </w:tabs>
              <w:contextualSpacing/>
              <w:jc w:val="right"/>
            </w:pPr>
            <w:r>
              <w:t xml:space="preserve">Таблица 2.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Динамика просроченной задолженности и РВПС, на конец года, млрд руб.</w:t>
            </w:r>
          </w:p>
          <w:tbl>
            <w:tblPr>
              <w:tblW w:w="6020" w:type="dxa"/>
              <w:tblLayout w:type="fixed"/>
              <w:tblLook w:val="04A0" w:firstRow="1" w:lastRow="0" w:firstColumn="1" w:lastColumn="0" w:noHBand="0" w:noVBand="1"/>
            </w:tblPr>
            <w:tblGrid>
              <w:gridCol w:w="454"/>
              <w:gridCol w:w="1611"/>
              <w:gridCol w:w="1133"/>
              <w:gridCol w:w="708"/>
              <w:gridCol w:w="708"/>
              <w:gridCol w:w="709"/>
              <w:gridCol w:w="697"/>
            </w:tblGrid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611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  <w:t>РВПС и просроченная задолженность</w:t>
                  </w:r>
                </w:p>
              </w:tc>
              <w:tc>
                <w:tcPr>
                  <w:tcW w:w="1133" w:type="dxa"/>
                  <w:vAlign w:val="bottom"/>
                </w:tcPr>
                <w:p w:rsidR="00BA5080" w:rsidRDefault="00BA5080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2012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2015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1.</w:t>
                  </w:r>
                </w:p>
              </w:tc>
              <w:tc>
                <w:tcPr>
                  <w:tcW w:w="5566" w:type="dxa"/>
                  <w:gridSpan w:val="6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Корпоративный портфель</w:t>
                  </w:r>
                  <w:r>
                    <w:rPr>
                      <w:rFonts w:eastAsia="Times New Roman"/>
                      <w:sz w:val="18"/>
                      <w:szCs w:val="18"/>
                    </w:rPr>
                    <w:t> 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1,2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27,7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 3,2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23,4 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2.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Розничный портфель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3,4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7,9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14,1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16,7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2,0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3,8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8,5 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10,2 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Итого по кредитному портфелю</w:t>
                  </w: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9,0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18,4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44,4</w:t>
                  </w:r>
                </w:p>
              </w:tc>
            </w:tr>
            <w:tr w:rsidR="00BA5080">
              <w:tc>
                <w:tcPr>
                  <w:tcW w:w="453" w:type="dxa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BA5080" w:rsidRDefault="00F10323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2,4</w:t>
                  </w:r>
                </w:p>
              </w:tc>
              <w:tc>
                <w:tcPr>
                  <w:tcW w:w="708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4,7</w:t>
                  </w:r>
                </w:p>
              </w:tc>
              <w:tc>
                <w:tcPr>
                  <w:tcW w:w="709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11,7 </w:t>
                  </w:r>
                </w:p>
              </w:tc>
              <w:tc>
                <w:tcPr>
                  <w:tcW w:w="697" w:type="dxa"/>
                  <w:vAlign w:val="center"/>
                </w:tcPr>
                <w:p w:rsidR="00BA5080" w:rsidRDefault="00F10323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33,6 </w:t>
                  </w:r>
                </w:p>
              </w:tc>
            </w:tr>
          </w:tbl>
          <w:p w:rsidR="00BA5080" w:rsidRDefault="00BA5080">
            <w:pPr>
              <w:tabs>
                <w:tab w:val="left" w:pos="540"/>
              </w:tabs>
              <w:contextualSpacing/>
              <w:jc w:val="both"/>
              <w:rPr>
                <w:sz w:val="18"/>
                <w:szCs w:val="18"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</w:pPr>
            <w:r>
              <w:rPr>
                <w:bCs/>
              </w:rPr>
              <w:t>Таблица 3. Данные баланса банка, на конец года,  млрд руб.</w:t>
            </w:r>
          </w:p>
          <w:p w:rsidR="00BA5080" w:rsidRDefault="00F10323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6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55245</wp:posOffset>
                  </wp:positionV>
                  <wp:extent cx="4062095" cy="2341245"/>
                  <wp:effectExtent l="0" t="0" r="0" b="0"/>
                  <wp:wrapNone/>
                  <wp:docPr id="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b="55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2095" cy="234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F10323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5" behindDoc="0" locked="0" layoutInCell="1" allowOverlap="1">
                  <wp:simplePos x="0" y="0"/>
                  <wp:positionH relativeFrom="column">
                    <wp:posOffset>557530</wp:posOffset>
                  </wp:positionH>
                  <wp:positionV relativeFrom="paragraph">
                    <wp:posOffset>635</wp:posOffset>
                  </wp:positionV>
                  <wp:extent cx="3997960" cy="2181225"/>
                  <wp:effectExtent l="0" t="0" r="0" b="0"/>
                  <wp:wrapNone/>
                  <wp:docPr id="10" name="Рисунок 158408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584081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t="44486" b="13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796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BA5080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BA5080" w:rsidRDefault="00F10323">
            <w:pPr>
              <w:tabs>
                <w:tab w:val="left" w:pos="108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BA5080" w:rsidRDefault="00F10323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bCs/>
              </w:rPr>
              <w:t>Используя имеющиеся данные, проведите оценку качества привлеченных и заемных средств крупного универсального банка.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 (таблицы 1 и 2); 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 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3. написать выводы по результатам проведенного анализа качества ресурсной базы.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 xml:space="preserve">По состоянию на 31.12.2016 на крупнейшего кредитора банка приходится 10% пассивов банка, а на 10 крупнейших групп кредиторов – 40% пассивов банка. </w:t>
            </w:r>
          </w:p>
          <w:p w:rsidR="00BA5080" w:rsidRDefault="00F10323">
            <w:pPr>
              <w:tabs>
                <w:tab w:val="left" w:pos="108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В составе средств юридических лиц 1 301 млрд руб. приходится на формально связанные с банком лица (в т.ч. 441 млрд руб. – на еврооблигации и субординированные облигации, выпущенные </w:t>
            </w:r>
            <w:r>
              <w:rPr>
                <w:bCs/>
                <w:lang w:val="en-US"/>
              </w:rPr>
              <w:t>SPV</w:t>
            </w:r>
            <w:r>
              <w:rPr>
                <w:bCs/>
              </w:rPr>
              <w:t xml:space="preserve"> Группы, в которую входит банк; облигации были приобретены сторонними инвесторами). Банк регулярно отслеживает риски привлечения ресурсов от связанных лиц. По состоянию на дату анализу их можно оценить как низкие.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lastRenderedPageBreak/>
              <w:t xml:space="preserve">Таблица 1. Отраслевая структура средств клиентов, на конец года </w:t>
            </w:r>
          </w:p>
          <w:p w:rsidR="00BA5080" w:rsidRDefault="00F10323">
            <w:pPr>
              <w:tabs>
                <w:tab w:val="left" w:pos="108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tbl>
            <w:tblPr>
              <w:tblW w:w="7212" w:type="dxa"/>
              <w:tblLayout w:type="fixed"/>
              <w:tblLook w:val="04A0" w:firstRow="1" w:lastRow="0" w:firstColumn="1" w:lastColumn="0" w:noHBand="0" w:noVBand="1"/>
            </w:tblPr>
            <w:tblGrid>
              <w:gridCol w:w="594"/>
              <w:gridCol w:w="4007"/>
              <w:gridCol w:w="851"/>
              <w:gridCol w:w="852"/>
              <w:gridCol w:w="908"/>
            </w:tblGrid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2016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1 010,1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1 118,2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971,0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Оптовая и розничная торговля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640,4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562,3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544,2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601,1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640,8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378,5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Операции с недвижимым имуществом, аренда и предоставление услуг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160,9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252,1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292,1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128,6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196,4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175,6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89,3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134,9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164,3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Производство и рас. электроэнергии, газа и воды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102,8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107,1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127,4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59,3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59,7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122,2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хозяйство, охота и лесное хозяйство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5,3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3,7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11,9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94,5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107,1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268,7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F10323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Средства клиентов физических лиц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469,7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631,1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646,7   </w:t>
                  </w:r>
                </w:p>
              </w:tc>
            </w:tr>
            <w:tr w:rsidR="00BA5080">
              <w:tc>
                <w:tcPr>
                  <w:tcW w:w="594" w:type="dxa"/>
                  <w:vAlign w:val="center"/>
                </w:tcPr>
                <w:p w:rsidR="00BA5080" w:rsidRDefault="00BA5080">
                  <w:pPr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007" w:type="dxa"/>
                  <w:vAlign w:val="center"/>
                </w:tcPr>
                <w:p w:rsidR="00BA5080" w:rsidRDefault="00F10323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средства клиентов</w:t>
                  </w:r>
                </w:p>
              </w:tc>
              <w:tc>
                <w:tcPr>
                  <w:tcW w:w="851" w:type="dxa"/>
                  <w:vAlign w:val="center"/>
                </w:tcPr>
                <w:p w:rsidR="00BA5080" w:rsidRDefault="00F10323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3 362,1   </w:t>
                  </w:r>
                </w:p>
              </w:tc>
              <w:tc>
                <w:tcPr>
                  <w:tcW w:w="852" w:type="dxa"/>
                  <w:vAlign w:val="center"/>
                </w:tcPr>
                <w:p w:rsidR="00BA5080" w:rsidRDefault="00F10323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3 813,4   </w:t>
                  </w:r>
                </w:p>
              </w:tc>
              <w:tc>
                <w:tcPr>
                  <w:tcW w:w="908" w:type="dxa"/>
                  <w:vAlign w:val="center"/>
                </w:tcPr>
                <w:p w:rsidR="00BA5080" w:rsidRDefault="00F10323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3 702,6   </w:t>
                  </w:r>
                </w:p>
              </w:tc>
            </w:tr>
          </w:tbl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t>Таблица 2. Данные баланса банка, на конец года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7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91440</wp:posOffset>
                  </wp:positionV>
                  <wp:extent cx="4429125" cy="2428875"/>
                  <wp:effectExtent l="0" t="0" r="0" b="0"/>
                  <wp:wrapNone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b="497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1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  <w:noProof/>
              </w:rPr>
              <w:drawing>
                <wp:anchor distT="0" distB="0" distL="0" distR="0" simplePos="0" relativeHeight="14" behindDoc="0" locked="0" layoutInCell="1" allowOverlap="1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13970</wp:posOffset>
                  </wp:positionV>
                  <wp:extent cx="4429125" cy="2418715"/>
                  <wp:effectExtent l="0" t="0" r="0" b="0"/>
                  <wp:wrapNone/>
                  <wp:docPr id="12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t="499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125" cy="241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По данным таблицы 1 необходимо проанализировать состояние ликвидности Группы «Сбербанк» на основе метода матриц. По результатам требуется подготовить краткую аналитическую записку с выводами.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1. Временная структура баланса группы «Сбербанк»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anchor distT="0" distB="0" distL="0" distR="0" simplePos="0" relativeHeight="18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58420</wp:posOffset>
                  </wp:positionV>
                  <wp:extent cx="2862580" cy="1901190"/>
                  <wp:effectExtent l="0" t="0" r="0" b="0"/>
                  <wp:wrapNone/>
                  <wp:docPr id="13" name="Рисунок 1707594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707594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b="388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190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both"/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  <w:noProof/>
              </w:rPr>
              <w:drawing>
                <wp:anchor distT="0" distB="0" distL="0" distR="0" simplePos="0" relativeHeight="13" behindDoc="0" locked="0" layoutInCell="1" allowOverlap="1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55880</wp:posOffset>
                  </wp:positionV>
                  <wp:extent cx="3543300" cy="1496060"/>
                  <wp:effectExtent l="0" t="0" r="0" b="0"/>
                  <wp:wrapNone/>
                  <wp:docPr id="14" name="Рисунок 1516379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5163798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t="61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14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BA5080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BA5080" w:rsidRDefault="00F1032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3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1. Обоснуйте и сформируйте выбору сопоставимых с ПАО МКБ банков (не менее 4) с помощью портала банковского аналитика analizbankov.ru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Соберите информацию из открытых источников структурированных данных для анализа структуры и качества собственного капитала выбранных банков (analizbankov.ru, cbr.ru)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Проведите копирование данных в табличный редактор.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Проведите сравнительный анализ структуры капитала и показателей качества капитала (не менее 5, в т.ч. КУГК).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5. Разработайте интерактивную панель для визуализации результатов анализа: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3-х диаграмм разного типа,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2-х переключателей (срезов)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средствами приложений для бизнес-аналитики или табличного редактора.</w:t>
            </w:r>
          </w:p>
          <w:p w:rsidR="00BA5080" w:rsidRDefault="00BA5080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BA5080" w:rsidRDefault="00BA5080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BA5080" w:rsidRDefault="00BA5080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Проект «Маркетплейс» Банка России предполагает существенное изменение ландшафта рынка банковских продуктов и услуг: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705225" cy="2781300"/>
                  <wp:effectExtent l="0" t="0" r="0" b="0"/>
                  <wp:docPr id="15" name="Рисунок 885974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885974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78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705225" cy="2038350"/>
                  <wp:effectExtent l="0" t="0" r="0" b="0"/>
                  <wp:docPr id="16" name="Рисунок 1023260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023260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705225" cy="2085975"/>
                  <wp:effectExtent l="0" t="0" r="0" b="0"/>
                  <wp:docPr id="17" name="Рисунок 1208009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208009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Вопросы к заданию</w:t>
            </w:r>
            <w:r>
              <w:rPr>
                <w:bCs/>
              </w:rPr>
              <w:t>: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1. Как внедрение проекта изменит состав и структуру ресурсной базы банков? Какое влияние такие изменения могут оказать на уровень их финансовой устойчивости?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2. Какие банки в большей степени испытают влияние от запуска данного проекта с точки зрения обеспечения их финансовой устойчивости?</w:t>
            </w:r>
          </w:p>
          <w:p w:rsidR="00BA5080" w:rsidRDefault="00BA5080">
            <w:pPr>
              <w:tabs>
                <w:tab w:val="right" w:leader="dot" w:pos="9345"/>
              </w:tabs>
              <w:contextualSpacing/>
              <w:jc w:val="both"/>
            </w:pPr>
          </w:p>
          <w:p w:rsidR="00BA5080" w:rsidRDefault="00F10323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Эксперты указали банкам на необходимость цифровизации бизнеса за 2-3 года. По прогнозам консалтинговой компании Boston Consulting Group (BCG), в ближайшие пять лет 30% выручки в мировом традиционном корпоративном банкинге будет получено исключительно через цифровые каналы. При этом у корпоративных банков есть два-три года для того, чтобы провести комплексную цифровую трансформацию, и российские банки с этой точки зрения не отстают от своих западных коллег, а в ряде направлений вовсе являются пионерами, следует из нового отчета BCG «Мировой корпоративный банковский бизнес: как достичь успеха с помощью цифровизации» (есть в распоряжении РБК). Партнер и управляющий директор Boston Consulting Group Дмитрий Ангаров указывает </w:t>
            </w:r>
            <w:r>
              <w:rPr>
                <w:bCs/>
              </w:rPr>
              <w:lastRenderedPageBreak/>
              <w:t>на два основных пути цифровизации банков. Первый путь — трансформация существующей архитектуры (ядра), что, в зависимости от состояния действующих систем, может стать длительным, трудоемким и затратным процессом. Альтернативный сценарий предусматривает создание цифрового банка в отдельном технологическом контуре, но на балансе основного банка (по аналогии модели «bank as a service» — «банк как сервис»). «Преимущества этого подхода с точки зрения скорости очевидны, но в этом случае всегда возникает вопрос интеграции с существующими системами банка», — поясняет Ангаров. Проведенный BCG опрос на тему цифровизации среди руководителей в корпоративном банковском секторе показал, что, по мнению подавляющего большинства респондентов (86%), цифровизация изменит как конкурентную среду, так и экономику их банков. При этом менее половины опрошенных (43%) сообщили, что у них есть четкая стратегия цифровизации. Аналитики BCG выделяют три наиболее эффективных направления цифровой трансформации для корпоративных банков. Во-первых, это цифровизация всего взаимодействия клиента и банка, что принесет выгоду как с точки зрения удовлетворенности клиентов, так и с точки зрения затрат на внутренние процессы. Второе направление предполагает использование цифровых инструментов для поддержки продаж, таких как удаленный интерфейс клиентского менеджера, динамическое ценообразование, использование искусственного интеллекта для цифровизации рутинных операций и другие. Наконец, банкам необходимо выстроить систему управления большими данными и адаптировать к новым требованиям IT-архитектуру. Сегодня доходность корпоративного бизнеса в России во всех клиентских сегментах находится под давлением, полагает Дмитрий Ангаров. По его словам, российским банкам, также как и их иностранным коллегам, достаточно трудно показывать приемлемую норму доходности без радикальных изменений бизнес-модели, так как классические методы повышения рентабельности бизнеса зачастую уже испробованы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  <w:u w:val="single"/>
              </w:rPr>
              <w:t>Вопросы к заданию</w:t>
            </w:r>
            <w:r>
              <w:rPr>
                <w:bCs/>
              </w:rPr>
              <w:t>: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1. Какие цифровые операции банки могут предложить крупному корпоративному бизнесу? Как это отразиться на доходности и рентабельности банков?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lastRenderedPageBreak/>
              <w:t>2. Как систему управления большими данными (</w:t>
            </w:r>
            <w:r>
              <w:rPr>
                <w:bCs/>
                <w:lang w:val="en-US"/>
              </w:rPr>
              <w:t>Big</w:t>
            </w:r>
            <w:r>
              <w:rPr>
                <w:bCs/>
              </w:rPr>
              <w:t xml:space="preserve"> </w:t>
            </w:r>
            <w:r>
              <w:rPr>
                <w:bCs/>
                <w:lang w:val="en-US"/>
              </w:rPr>
              <w:t>Data</w:t>
            </w:r>
            <w:r>
              <w:rPr>
                <w:bCs/>
              </w:rPr>
              <w:t>) можно применять в обслуживании корпоративных клиентов? Какое влияние это может оказать на рентабельность банков и уровень их финансовой устойчивости?</w:t>
            </w:r>
          </w:p>
          <w:p w:rsidR="00BA5080" w:rsidRDefault="00F10323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Соберите информацию из открытых источников структурированных данных для анализа структуры и качества собственного капитала ПАО МКБ за 5 лет (квартальные даты):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 - состав и структура капитала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нормативы достаточности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структура совокупного риска (риск-взвешенных активов)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 - коэффициент усредненной генерации капитала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источники прироста капитала.</w:t>
            </w:r>
          </w:p>
          <w:p w:rsidR="00BA5080" w:rsidRDefault="00F10323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Проанализируйте собранные данные с помощью приложения для бизнес-анализа (Yandex DataLens, Power BI Desktop), результаты представьте в виде интерактивных панелей: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- не менее 3-х диаграмм, </w:t>
            </w:r>
          </w:p>
          <w:p w:rsidR="00BA5080" w:rsidRDefault="00F10323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2-х таблиц.</w:t>
            </w:r>
          </w:p>
          <w:p w:rsidR="00BA5080" w:rsidRDefault="00F10323">
            <w:pPr>
              <w:tabs>
                <w:tab w:val="right" w:leader="dot" w:pos="9345"/>
              </w:tabs>
            </w:pPr>
            <w:r>
              <w:rPr>
                <w:bCs/>
              </w:rPr>
              <w:t>Составьте мотивированное заключение</w:t>
            </w:r>
          </w:p>
        </w:tc>
      </w:tr>
    </w:tbl>
    <w:p w:rsidR="00BA5080" w:rsidRDefault="00BA5080">
      <w:pPr>
        <w:sectPr w:rsidR="00BA5080">
          <w:headerReference w:type="default" r:id="rId25"/>
          <w:footerReference w:type="default" r:id="rId26"/>
          <w:pgSz w:w="16838" w:h="11906" w:orient="landscape"/>
          <w:pgMar w:top="850" w:right="1134" w:bottom="1701" w:left="1134" w:header="708" w:footer="708" w:gutter="0"/>
          <w:cols w:space="720"/>
          <w:formProt w:val="0"/>
          <w:docGrid w:linePitch="360"/>
        </w:sectPr>
      </w:pPr>
    </w:p>
    <w:p w:rsidR="00BA5080" w:rsidRDefault="00F1032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Примерный перечень вопросов к экзамену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и типы финансовой устойчивости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Влияние односторонних ограничительных мер, введенных недружественными странами, на финансовую устойчивость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«финансовая устойчивость», «финансовое состояние», «экономическое положение», надежность и стабильность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Финансовая и организационная устойчивость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Классификация и содержание факторов финансовой устойчивости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Внешние факторы финансовой устойчивости банка: политические, правовые, инфраструктурные.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Внутренние факторы финансовой устойчивости банка: понятие и разновидности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Признаки финансовой устойчивости банка и индикаторы ее падения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Идентификация риска потери доходности: понятие и методы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подразделений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продуктов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финансовой устойчивости банка: понятие и составные элементы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Механизм оценки финансовой устойчивости банка: понятие, критерии и показатели, процедура, организация и методы оценки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Денежные и неденежные показатели оценки финансовой устойчивости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Процедура оценки финансовой устойчивости банка: этапы, инструменты, выбор показателей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Организация оценки финансовой устойчивости банка: субъекты оценки, информационная база, взаимоотношения участников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оценки финансовой устойчивости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моделей оценки финансовой устойчивости банка и критерии их классификации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>Система CAMELS: общая характеристика содержания и определение типа этой модели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Общая характеристика системы Rate и определение типа этой модели оценки финансовой устойчивости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Общая характеристика методики Банка России по оценке экономического положения банков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капитала банка в рамках системы CAMELS и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активов по системе CAMELS и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уровня доходности (прибыльности) банка в рамках системы CAMELS и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ликвидности банка по системе CAMELS и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Сравнительная характеристика оценки качества менеджмента по системе CAMELS и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чувствительности банка к рискам по системе CAMELS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уровня процентного риска и риска концентрации по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прозрачности собственности банка по модели Банка России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Использование финансовой отчетности по РСБУ и МСФО, а также управленческой отчетности для кредитного анализа банков: достоинства и недостатки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Характеристика основных форм отчетности по РСБУ и их роль в анализе финансового состояния коммерческого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Компоненты кредитного анализа банков по методике любого из рейтинговых агентств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собственного капитала банка и его состав для целей составления бухгалтерского баланса и для целей регулирования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субординированного долга и критерии его включения в состав собственного (регуляторного) капитала, согласно Положению Банка России № 646-П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собственного (регуляторного) капитала, критерии распределения элементов между уровнями капитала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>Порядок расчета величины собственного (регуляторного) капитала, согласно Положению Банка России № 646-П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формирования собственного капитала банка и основные критерии их выбора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Экономическое содержание и уровни четырех нормативов достаточности капитала банка 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совокупного риска банка, учитываемого при расчете норматива Н1.0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Надбавки к достаточности капитала: виды, порядок введения, границы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собственного капитала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привлеченных и заемных средств банка и их структура в условиях российской практики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ресурсной базы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Подходы к оценке степени диверсификации ресурсной базы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Показатели оценки стабильности ресурсной базы банка и величины неснижаемого остатка на счетах клиентов 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и структура активов российских банков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анализа качества активов банка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кредитного риска банка и способы оценки его уровня</w:t>
      </w:r>
    </w:p>
    <w:p w:rsidR="00BA5080" w:rsidRDefault="00F10323">
      <w:pPr>
        <w:pStyle w:val="afd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  <w:sectPr w:rsidR="00BA5080">
          <w:headerReference w:type="default" r:id="rId27"/>
          <w:footerReference w:type="default" r:id="rId28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rPr>
          <w:sz w:val="28"/>
          <w:szCs w:val="28"/>
        </w:rPr>
        <w:t>Концентрация кредитного портфеля: понятие, влияние на финансовое состояние банка, типы и способы оценки</w:t>
      </w:r>
    </w:p>
    <w:p w:rsidR="00BA5080" w:rsidRDefault="00F10323">
      <w:pPr>
        <w:spacing w:line="360" w:lineRule="auto"/>
        <w:ind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Пример экзаменационного билета </w:t>
      </w:r>
    </w:p>
    <w:p w:rsidR="00BA5080" w:rsidRDefault="00F10323">
      <w:pPr>
        <w:jc w:val="center"/>
        <w:rPr>
          <w:b/>
        </w:rPr>
      </w:pPr>
      <w:r>
        <w:rPr>
          <w:b/>
        </w:rPr>
        <w:t xml:space="preserve">  Федеральное государственное образовательное бюджетное учреждение</w:t>
      </w:r>
    </w:p>
    <w:p w:rsidR="00BA5080" w:rsidRDefault="00F10323">
      <w:pPr>
        <w:jc w:val="center"/>
        <w:rPr>
          <w:b/>
        </w:rPr>
      </w:pPr>
      <w:r>
        <w:rPr>
          <w:b/>
        </w:rPr>
        <w:t>высшего образования</w:t>
      </w:r>
    </w:p>
    <w:p w:rsidR="00BA5080" w:rsidRDefault="00F10323">
      <w:pPr>
        <w:jc w:val="center"/>
        <w:rPr>
          <w:b/>
        </w:rPr>
      </w:pPr>
      <w:r>
        <w:rPr>
          <w:b/>
        </w:rPr>
        <w:t>«Финансовый университет при Правительстве Российской Федерации»</w:t>
      </w:r>
    </w:p>
    <w:p w:rsidR="00BA5080" w:rsidRDefault="00F10323">
      <w:pPr>
        <w:jc w:val="center"/>
        <w:rPr>
          <w:b/>
        </w:rPr>
      </w:pPr>
      <w:r>
        <w:rPr>
          <w:b/>
        </w:rPr>
        <w:t>(Финансовый университет)</w:t>
      </w:r>
    </w:p>
    <w:p w:rsidR="00BA5080" w:rsidRDefault="00BA5080">
      <w:pPr>
        <w:jc w:val="both"/>
        <w:rPr>
          <w:color w:val="00B050"/>
          <w:sz w:val="28"/>
          <w:szCs w:val="28"/>
        </w:rPr>
      </w:pP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Кафедра банковского дела и монетарного регулирования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Дисциплина: «Анализ и оценка финансового состояния и перспектив деятельности коммерческого банка»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Факультет финансовый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 xml:space="preserve">Форма обучения: 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Модуль: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Направление подготовки 38.04.08 – Финансы и кредит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Направленность программы магистратуры: «Управление финансовыми рисками: прикладная аналитика и технологии в банках»</w:t>
      </w:r>
    </w:p>
    <w:p w:rsidR="00BA5080" w:rsidRDefault="00F10323">
      <w:pPr>
        <w:jc w:val="both"/>
        <w:rPr>
          <w:color w:val="00B050"/>
          <w:sz w:val="28"/>
          <w:szCs w:val="28"/>
        </w:rPr>
      </w:pPr>
      <w:r>
        <w:t>Учебная группа: ___</w:t>
      </w:r>
    </w:p>
    <w:p w:rsidR="00BA5080" w:rsidRDefault="00BA5080">
      <w:pPr>
        <w:jc w:val="center"/>
        <w:rPr>
          <w:b/>
        </w:rPr>
      </w:pPr>
    </w:p>
    <w:p w:rsidR="00BA5080" w:rsidRDefault="00F10323">
      <w:pPr>
        <w:jc w:val="center"/>
        <w:rPr>
          <w:b/>
        </w:rPr>
      </w:pPr>
      <w:r>
        <w:rPr>
          <w:b/>
        </w:rPr>
        <w:t>ЭКЗАМЕНАЦИОННЫЙ БИЛЕТ № 1</w:t>
      </w:r>
    </w:p>
    <w:p w:rsidR="00BA5080" w:rsidRDefault="00BA5080">
      <w:pPr>
        <w:jc w:val="center"/>
        <w:rPr>
          <w:b/>
        </w:rPr>
      </w:pPr>
    </w:p>
    <w:p w:rsidR="00BA5080" w:rsidRDefault="00F10323">
      <w:pPr>
        <w:pStyle w:val="aff3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ЗАДАНИЕ 1. Дайте развернутый ответ на дискуссионный теоретический вопрос (максимум 15 баллов).</w:t>
      </w:r>
    </w:p>
    <w:p w:rsidR="00BA5080" w:rsidRDefault="00F10323">
      <w:pPr>
        <w:pStyle w:val="aff3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Понятие и типы финансовой устойчивости банка.</w:t>
      </w:r>
    </w:p>
    <w:p w:rsidR="00BA5080" w:rsidRDefault="00BA5080">
      <w:pPr>
        <w:pStyle w:val="aff3"/>
        <w:jc w:val="both"/>
        <w:rPr>
          <w:b/>
        </w:rPr>
      </w:pPr>
    </w:p>
    <w:p w:rsidR="00BA5080" w:rsidRDefault="00F10323">
      <w:pPr>
        <w:pStyle w:val="aff3"/>
        <w:jc w:val="both"/>
        <w:rPr>
          <w:b/>
        </w:rPr>
      </w:pPr>
      <w:r>
        <w:rPr>
          <w:b/>
        </w:rPr>
        <w:t xml:space="preserve">ЗАДАНИЕ 2. </w:t>
      </w:r>
      <w:r>
        <w:rPr>
          <w:rStyle w:val="FontStyle13"/>
          <w:rFonts w:eastAsiaTheme="majorEastAsia"/>
          <w:b/>
          <w:color w:val="auto"/>
        </w:rPr>
        <w:t>Дайте развернутый ответ на дискуссионный теоретический вопрос (максимум 15 баллов).</w:t>
      </w:r>
    </w:p>
    <w:p w:rsidR="00BA5080" w:rsidRDefault="00F10323">
      <w:pPr>
        <w:pStyle w:val="aff3"/>
        <w:jc w:val="both"/>
        <w:rPr>
          <w:color w:val="00B050"/>
          <w:sz w:val="28"/>
          <w:szCs w:val="28"/>
        </w:rPr>
      </w:pPr>
      <w:r>
        <w:rPr>
          <w:b/>
        </w:rPr>
        <w:t>Методы анализ уровня концентрации источников операционного дохода банка.</w:t>
      </w:r>
    </w:p>
    <w:p w:rsidR="00BA5080" w:rsidRDefault="00BA5080">
      <w:pPr>
        <w:pStyle w:val="aff3"/>
        <w:jc w:val="both"/>
        <w:rPr>
          <w:color w:val="00B050"/>
          <w:sz w:val="28"/>
          <w:szCs w:val="28"/>
        </w:rPr>
      </w:pPr>
    </w:p>
    <w:p w:rsidR="00BA5080" w:rsidRDefault="00F10323">
      <w:pPr>
        <w:pStyle w:val="aff3"/>
        <w:jc w:val="both"/>
        <w:rPr>
          <w:color w:val="00B050"/>
          <w:sz w:val="28"/>
          <w:szCs w:val="28"/>
        </w:rPr>
      </w:pPr>
      <w:r>
        <w:rPr>
          <w:rStyle w:val="FontStyle15"/>
          <w:rFonts w:eastAsiaTheme="majorEastAsia"/>
          <w:color w:val="auto"/>
          <w:sz w:val="24"/>
          <w:szCs w:val="24"/>
        </w:rPr>
        <w:t>ЗАДАНИЕ 3. Выполните практико-ориентированное задание (максимум 30 баллов).</w:t>
      </w:r>
    </w:p>
    <w:p w:rsidR="00BA5080" w:rsidRDefault="00BA5080">
      <w:pPr>
        <w:pStyle w:val="aff3"/>
        <w:jc w:val="both"/>
        <w:rPr>
          <w:lang w:val="x-none"/>
        </w:rPr>
      </w:pPr>
    </w:p>
    <w:p w:rsidR="00BA5080" w:rsidRDefault="00F10323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На основе данных о составе и структуре собственного (регуляторного) капитала банка (является </w:t>
      </w:r>
      <w:r>
        <w:rPr>
          <w:u w:val="single"/>
        </w:rPr>
        <w:t>системно значимым</w:t>
      </w:r>
      <w:r>
        <w:t xml:space="preserve">), структуре совокупного риска, дополнительных показателях баланса банка, его доходов и расходов (Таблицы 1-3) требуется: </w:t>
      </w:r>
    </w:p>
    <w:p w:rsidR="00BA5080" w:rsidRDefault="00F10323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1. рассчитать величину нормативов достаточности собственного капитала банка (Н1.1, Н1.2 и Н1.0), оценить их значения и изменение во времени, а также определить соблюдение обязательств по поддержанию требуемых надбавок к нормативам достаточности капитала;</w:t>
      </w:r>
    </w:p>
    <w:p w:rsidR="00BA5080" w:rsidRDefault="00F10323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2. рассчитать и оценить показатель иммобилизации капитала банка, а также темпы прироста активов, кредитного портфеля банка и регуляторного капитала банка;</w:t>
      </w:r>
    </w:p>
    <w:p w:rsidR="00BA5080" w:rsidRDefault="00F10323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3. проанализировать и оценить источники прироста собственного (регуляторного) капитала банка; </w:t>
      </w:r>
    </w:p>
    <w:p w:rsidR="00BA5080" w:rsidRDefault="00F10323">
      <w:pPr>
        <w:spacing w:after="120"/>
        <w:ind w:firstLine="709"/>
        <w:rPr>
          <w:iCs/>
        </w:rPr>
        <w:sectPr w:rsidR="00BA5080">
          <w:headerReference w:type="default" r:id="rId29"/>
          <w:footerReference w:type="default" r:id="rId30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t>4. написать выводы о качестве собственного капитала банка по результатам проведенного анализа.</w:t>
      </w:r>
    </w:p>
    <w:p w:rsidR="00BA5080" w:rsidRDefault="00F10323">
      <w:pPr>
        <w:ind w:firstLine="709"/>
        <w:rPr>
          <w:iCs/>
        </w:rPr>
      </w:pPr>
      <w:r>
        <w:rPr>
          <w:iCs/>
        </w:rPr>
        <w:lastRenderedPageBreak/>
        <w:t>Таблица 1 – Структура собственного капитала банка на 31.12 года, млрд руб.</w:t>
      </w:r>
    </w:p>
    <w:tbl>
      <w:tblPr>
        <w:tblW w:w="13844" w:type="dxa"/>
        <w:tblLayout w:type="fixed"/>
        <w:tblLook w:val="04A0" w:firstRow="1" w:lastRow="0" w:firstColumn="1" w:lastColumn="0" w:noHBand="0" w:noVBand="1"/>
      </w:tblPr>
      <w:tblGrid>
        <w:gridCol w:w="366"/>
        <w:gridCol w:w="285"/>
        <w:gridCol w:w="281"/>
        <w:gridCol w:w="497"/>
        <w:gridCol w:w="6304"/>
        <w:gridCol w:w="1195"/>
        <w:gridCol w:w="1198"/>
        <w:gridCol w:w="1196"/>
        <w:gridCol w:w="1194"/>
        <w:gridCol w:w="1328"/>
      </w:tblGrid>
      <w:tr w:rsidR="00BA5080">
        <w:trPr>
          <w:trHeight w:val="345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Элемент собственного капитала</w:t>
            </w:r>
          </w:p>
        </w:tc>
        <w:tc>
          <w:tcPr>
            <w:tcW w:w="1195" w:type="dxa"/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98" w:type="dxa"/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94" w:type="dxa"/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28" w:type="dxa"/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BA5080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7366" w:type="dxa"/>
            <w:gridSpan w:val="4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Основной капитал (I уровня) = Базовый + Добавочный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8" w:type="dxa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4" w:type="dxa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85,4</w:t>
            </w:r>
          </w:p>
        </w:tc>
        <w:tc>
          <w:tcPr>
            <w:tcW w:w="1328" w:type="dxa"/>
            <w:tcBorders>
              <w:top w:val="single" w:sz="8" w:space="0" w:color="808080"/>
            </w:tcBorders>
            <w:shd w:val="clear" w:color="000000" w:fill="FDE9D9"/>
          </w:tcPr>
          <w:p w:rsidR="00BA5080" w:rsidRDefault="00F1032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94,0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F10323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Базовый капитал</w:t>
            </w:r>
          </w:p>
        </w:tc>
        <w:tc>
          <w:tcPr>
            <w:tcW w:w="1195" w:type="dxa"/>
            <w:shd w:val="clear" w:color="000000" w:fill="FFFFFF"/>
          </w:tcPr>
          <w:p w:rsidR="00BA5080" w:rsidRDefault="00F10323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8" w:type="dxa"/>
            <w:shd w:val="clear" w:color="000000" w:fill="FFFFFF"/>
          </w:tcPr>
          <w:p w:rsidR="00BA5080" w:rsidRDefault="00F10323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196" w:type="dxa"/>
            <w:shd w:val="clear" w:color="000000" w:fill="FFFFFF"/>
          </w:tcPr>
          <w:p w:rsidR="00BA5080" w:rsidRDefault="00F10323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4" w:type="dxa"/>
            <w:shd w:val="clear" w:color="000000" w:fill="FFFFFF"/>
          </w:tcPr>
          <w:p w:rsidR="00BA5080" w:rsidRDefault="00F10323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61,6</w:t>
            </w:r>
          </w:p>
        </w:tc>
        <w:tc>
          <w:tcPr>
            <w:tcW w:w="1328" w:type="dxa"/>
            <w:shd w:val="clear" w:color="000000" w:fill="FFFFFF"/>
          </w:tcPr>
          <w:p w:rsidR="00BA5080" w:rsidRDefault="00F10323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66,0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Уставный капитал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8,7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обыкновенные акции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8,7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привилегированные акции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доли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Эмиссионный доход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5,9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Резервный фонд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Нераспределенная прибыль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8,9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11,5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15,2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прошлых лет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5,8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9,7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11,2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17,6</w:t>
            </w:r>
          </w:p>
        </w:tc>
      </w:tr>
      <w:tr w:rsidR="00BA5080">
        <w:trPr>
          <w:trHeight w:val="215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отчетного года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3,1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1,8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4,0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1,9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i/>
                <w:iCs/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НМА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(0,1)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Отрицательная величина добавочного капитала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Сумма налога на прибыль, подлежащая возмещению в будущих периодах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Собственные акции, выкупленные у акционеров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Убытки предшествующих лет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Убыток текущего года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Инвестиции в капитал финансовых организаций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несущественные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существенные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F10323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Добавочный капитал</w:t>
            </w:r>
          </w:p>
        </w:tc>
        <w:tc>
          <w:tcPr>
            <w:tcW w:w="1195" w:type="dxa"/>
            <w:shd w:val="clear" w:color="000000" w:fill="FFFFFF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FFFFFF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FFFFF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FFFFFF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23,8</w:t>
            </w:r>
          </w:p>
        </w:tc>
        <w:tc>
          <w:tcPr>
            <w:tcW w:w="1328" w:type="dxa"/>
            <w:shd w:val="clear" w:color="000000" w:fill="FFFFFF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Привилегированные акции особого типа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Эмиссионный доход от выпуска вышеуказанных привилегированных акций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Субординированный заем с дополнительными условиями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Субординированный кредит без ограничения срока привлечения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24,2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Вложения в собственные привилегированные акции особого типа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привилегированные акции финансовых организаций (относящиеся к этому разделу)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 банка по приобретению включенных в этот раздел источников собственного капитала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Отрицательная величина дополнительного капитала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Иное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(0,4)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DE9D9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7366" w:type="dxa"/>
            <w:gridSpan w:val="4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Дополнительный капитал (II уровня)</w:t>
            </w:r>
          </w:p>
        </w:tc>
        <w:tc>
          <w:tcPr>
            <w:tcW w:w="1195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</w:t>
            </w:r>
          </w:p>
        </w:tc>
        <w:tc>
          <w:tcPr>
            <w:tcW w:w="1198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45,7</w:t>
            </w:r>
          </w:p>
        </w:tc>
        <w:tc>
          <w:tcPr>
            <w:tcW w:w="1196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35,9</w:t>
            </w:r>
          </w:p>
        </w:tc>
        <w:tc>
          <w:tcPr>
            <w:tcW w:w="1194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65,9</w:t>
            </w:r>
          </w:p>
        </w:tc>
        <w:tc>
          <w:tcPr>
            <w:tcW w:w="1328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69,3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Привилегированые акции (до 1 марта 2013), кроме указанных выше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Привилегированые акции (после 1 марта 2013), кроме указанных выше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Часть УК, сформированного за счет капитализации стоимости имущества при переоценке до его выбытия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Эмисионный доход от выпуска привилегированных акций данного раздела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фонд за счет прибыли текущего  или прошлого года до подтверждения аудитором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(остаточная стоимость в последние 5 лет)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21,6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43,1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34,3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60,4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64,0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BA5080" w:rsidRDefault="00BA5080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(депозит, заем, облигационный заем) на срок не менее 50 лет, от резидента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BA5080" w:rsidRDefault="00BA5080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привлеченные до 1 марта 2013 года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BA5080" w:rsidRDefault="00BA5080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предоставленные в соответствии с  Законом N 173-ФЗ и Законом N 175-ФЗ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текущего года, не подтвержденная аудитором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предшествующих лет, не подтвержденная аудитором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Прирост стоимости имущества за счет переоценки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BA5080" w:rsidRDefault="00F10323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Вычитаются: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FFFFF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BA5080" w:rsidRDefault="00BA5080">
            <w:pPr>
              <w:rPr>
                <w:sz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BA5080" w:rsidRDefault="00F10323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5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(0,0)</w:t>
            </w:r>
          </w:p>
        </w:tc>
        <w:tc>
          <w:tcPr>
            <w:tcW w:w="1328" w:type="dxa"/>
            <w:shd w:val="clear" w:color="000000" w:fill="EEECE1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(0,3)</w:t>
            </w:r>
          </w:p>
        </w:tc>
      </w:tr>
      <w:tr w:rsidR="00BA5080">
        <w:trPr>
          <w:trHeight w:val="330"/>
        </w:trPr>
        <w:tc>
          <w:tcPr>
            <w:tcW w:w="365" w:type="dxa"/>
            <w:shd w:val="clear" w:color="000000" w:fill="FDE9D9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7366" w:type="dxa"/>
            <w:gridSpan w:val="4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Показатели, определенные в соответствии с пунктом 4 Положения N 646-П</w:t>
            </w:r>
          </w:p>
        </w:tc>
        <w:tc>
          <w:tcPr>
            <w:tcW w:w="1195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8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FDE9D9"/>
          </w:tcPr>
          <w:p w:rsidR="00BA5080" w:rsidRDefault="00F103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BA508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BA508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tcBorders>
              <w:top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Собственный капитал (Базель III), итого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48,6</w:t>
            </w:r>
          </w:p>
        </w:tc>
        <w:tc>
          <w:tcPr>
            <w:tcW w:w="1198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92,7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84,7</w:t>
            </w:r>
          </w:p>
        </w:tc>
        <w:tc>
          <w:tcPr>
            <w:tcW w:w="1194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151,3</w:t>
            </w:r>
          </w:p>
        </w:tc>
        <w:tc>
          <w:tcPr>
            <w:tcW w:w="1328" w:type="dxa"/>
            <w:tcBorders>
              <w:top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163,3</w:t>
            </w:r>
          </w:p>
        </w:tc>
      </w:tr>
    </w:tbl>
    <w:p w:rsidR="00BA5080" w:rsidRDefault="00BA5080">
      <w:pPr>
        <w:pStyle w:val="aff3"/>
        <w:jc w:val="both"/>
        <w:rPr>
          <w:iCs/>
        </w:rPr>
        <w:sectPr w:rsidR="00BA5080">
          <w:headerReference w:type="default" r:id="rId31"/>
          <w:footerReference w:type="default" r:id="rId32"/>
          <w:pgSz w:w="16838" w:h="11906" w:orient="landscape"/>
          <w:pgMar w:top="993" w:right="851" w:bottom="850" w:left="993" w:header="708" w:footer="708" w:gutter="0"/>
          <w:cols w:space="720"/>
          <w:formProt w:val="0"/>
          <w:docGrid w:linePitch="360"/>
        </w:sectPr>
      </w:pPr>
    </w:p>
    <w:p w:rsidR="00BA5080" w:rsidRDefault="00BA5080">
      <w:pPr>
        <w:rPr>
          <w:iCs/>
        </w:rPr>
      </w:pPr>
    </w:p>
    <w:p w:rsidR="00BA5080" w:rsidRDefault="00F10323">
      <w:pPr>
        <w:ind w:firstLine="709"/>
        <w:rPr>
          <w:iCs/>
        </w:rPr>
      </w:pPr>
      <w:r>
        <w:rPr>
          <w:iCs/>
        </w:rPr>
        <w:t>Таблица 2 – Дополнительные показатели баланса банка, его доходов и расходов, млрд руб. на 31.12 года</w:t>
      </w:r>
    </w:p>
    <w:tbl>
      <w:tblPr>
        <w:tblW w:w="9948" w:type="dxa"/>
        <w:tblLayout w:type="fixed"/>
        <w:tblLook w:val="04A0" w:firstRow="1" w:lastRow="0" w:firstColumn="1" w:lastColumn="0" w:noHBand="0" w:noVBand="1"/>
      </w:tblPr>
      <w:tblGrid>
        <w:gridCol w:w="3827"/>
        <w:gridCol w:w="1197"/>
        <w:gridCol w:w="1198"/>
        <w:gridCol w:w="1199"/>
        <w:gridCol w:w="1191"/>
        <w:gridCol w:w="1336"/>
      </w:tblGrid>
      <w:tr w:rsidR="00BA5080">
        <w:trPr>
          <w:trHeight w:val="345"/>
        </w:trPr>
        <w:tc>
          <w:tcPr>
            <w:tcW w:w="3826" w:type="dxa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млрд руб.</w:t>
            </w:r>
          </w:p>
        </w:tc>
        <w:tc>
          <w:tcPr>
            <w:tcW w:w="1197" w:type="dxa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2016</w:t>
            </w:r>
          </w:p>
        </w:tc>
        <w:tc>
          <w:tcPr>
            <w:tcW w:w="1198" w:type="dxa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1199" w:type="dxa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1191" w:type="dxa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1336" w:type="dxa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2020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iCs/>
              </w:rPr>
            </w:pPr>
            <w:r>
              <w:t>Собственный капитал (бухгалтерский)</w:t>
            </w:r>
          </w:p>
        </w:tc>
        <w:tc>
          <w:tcPr>
            <w:tcW w:w="1197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iCs/>
              </w:rPr>
            </w:pPr>
            <w:r>
              <w:t>26,6</w:t>
            </w:r>
          </w:p>
        </w:tc>
        <w:tc>
          <w:tcPr>
            <w:tcW w:w="1198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iCs/>
              </w:rPr>
            </w:pPr>
            <w:r>
              <w:t>47,7</w:t>
            </w:r>
          </w:p>
        </w:tc>
        <w:tc>
          <w:tcPr>
            <w:tcW w:w="1199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iCs/>
              </w:rPr>
            </w:pPr>
            <w:r>
              <w:t>50,1</w:t>
            </w:r>
          </w:p>
        </w:tc>
        <w:tc>
          <w:tcPr>
            <w:tcW w:w="1191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iCs/>
              </w:rPr>
            </w:pPr>
            <w:r>
              <w:t>64,9</w:t>
            </w:r>
          </w:p>
        </w:tc>
        <w:tc>
          <w:tcPr>
            <w:tcW w:w="133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iCs/>
              </w:rPr>
            </w:pPr>
            <w:r>
              <w:t>71,4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Активы балансовые, всего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343,1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711,6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829,6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1 097,9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1 281,7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Активы, взвешенные по риску (совокупный риск банка)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342,0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574,3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671,5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812,4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Кредиты клиентам (брутто)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243,7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508,6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664,4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958,7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1 107,7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Внеоборотные активы и запасы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(4,1)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(4,6)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(4,5)</w:t>
            </w:r>
          </w:p>
        </w:tc>
      </w:tr>
      <w:tr w:rsidR="00BA5080">
        <w:trPr>
          <w:trHeight w:val="345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Просроченная задолженность за минусом РВПС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Дивиденды уплаченные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Прибыль до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1,0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Прибыль после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6,4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7,2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Нестабильные/ нерегулярные доходы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9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(0,1)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(0,7)</w:t>
            </w:r>
          </w:p>
        </w:tc>
      </w:tr>
      <w:tr w:rsidR="00BA5080">
        <w:trPr>
          <w:trHeight w:val="330"/>
        </w:trPr>
        <w:tc>
          <w:tcPr>
            <w:tcW w:w="3826" w:type="dxa"/>
            <w:tcBorders>
              <w:top w:val="dotted" w:sz="4" w:space="0" w:color="000000"/>
            </w:tcBorders>
            <w:shd w:val="clear" w:color="000000" w:fill="FFFFFF"/>
          </w:tcPr>
          <w:p w:rsidR="00BA5080" w:rsidRDefault="00F10323">
            <w:pPr>
              <w:rPr>
                <w:color w:val="000000"/>
              </w:rPr>
            </w:pPr>
            <w:r>
              <w:rPr>
                <w:color w:val="000000"/>
              </w:rPr>
              <w:t>Чистый выкуп акций</w:t>
            </w:r>
          </w:p>
        </w:tc>
        <w:tc>
          <w:tcPr>
            <w:tcW w:w="1197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9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1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</w:tbl>
    <w:p w:rsidR="00BA5080" w:rsidRDefault="00BA5080">
      <w:pPr>
        <w:ind w:firstLine="709"/>
        <w:rPr>
          <w:iCs/>
        </w:rPr>
      </w:pPr>
    </w:p>
    <w:p w:rsidR="00BA5080" w:rsidRDefault="00F10323">
      <w:pPr>
        <w:ind w:firstLine="709"/>
        <w:rPr>
          <w:iCs/>
        </w:rPr>
      </w:pPr>
      <w:r>
        <w:rPr>
          <w:iCs/>
        </w:rPr>
        <w:t>Таблица 3 – Источники прироста капитала банка, млрд руб. на 31.12 года</w:t>
      </w:r>
    </w:p>
    <w:tbl>
      <w:tblPr>
        <w:tblW w:w="9427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280"/>
        <w:gridCol w:w="4225"/>
        <w:gridCol w:w="1194"/>
        <w:gridCol w:w="1196"/>
        <w:gridCol w:w="1200"/>
        <w:gridCol w:w="1332"/>
      </w:tblGrid>
      <w:tr w:rsidR="00BA5080">
        <w:trPr>
          <w:trHeight w:val="345"/>
        </w:trPr>
        <w:tc>
          <w:tcPr>
            <w:tcW w:w="4504" w:type="dxa"/>
            <w:gridSpan w:val="2"/>
            <w:tcBorders>
              <w:bottom w:val="single" w:sz="8" w:space="0" w:color="808080"/>
            </w:tcBorders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млрд руб.</w:t>
            </w:r>
          </w:p>
        </w:tc>
        <w:tc>
          <w:tcPr>
            <w:tcW w:w="1194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200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32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BA5080" w:rsidRDefault="00F1032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BA5080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Внутренние источники</w:t>
            </w:r>
          </w:p>
        </w:tc>
        <w:tc>
          <w:tcPr>
            <w:tcW w:w="1194" w:type="dxa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00" w:type="dxa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332" w:type="dxa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Нераспределенная прибыль+ резервный капитал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8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</w:tr>
      <w:tr w:rsidR="00BA5080">
        <w:trPr>
          <w:trHeight w:val="138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auto" w:fill="auto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Непокрытые убытки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Внешние источники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-9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Обыкновенные акции/ доли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15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Эмиссионный доход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15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Привилегированные акции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(кроме 173-ФЗ и 175-ФЗ)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-9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(173-ФЗ и 175-ФЗ)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BA5080" w:rsidRDefault="00F10323">
            <w:pPr>
              <w:rPr>
                <w:sz w:val="20"/>
              </w:rPr>
            </w:pPr>
            <w:r>
              <w:rPr>
                <w:sz w:val="20"/>
              </w:rPr>
              <w:t>Прочие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Вложения в акции ДЗО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Предоставленные субординированные кредиты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Прочее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BA5080">
        <w:trPr>
          <w:trHeight w:val="330"/>
        </w:trPr>
        <w:tc>
          <w:tcPr>
            <w:tcW w:w="279" w:type="dxa"/>
            <w:shd w:val="clear" w:color="000000" w:fill="FFFFFF"/>
          </w:tcPr>
          <w:p w:rsidR="00BA5080" w:rsidRDefault="00BA5080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225" w:type="dxa"/>
            <w:shd w:val="clear" w:color="000000" w:fill="FFFFFF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Итого прирост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44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-8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67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BA5080" w:rsidRDefault="00F1032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12</w:t>
            </w:r>
          </w:p>
        </w:tc>
      </w:tr>
    </w:tbl>
    <w:p w:rsidR="00BA5080" w:rsidRDefault="00BA5080">
      <w:pPr>
        <w:ind w:firstLine="709"/>
        <w:rPr>
          <w:iCs/>
        </w:rPr>
      </w:pPr>
    </w:p>
    <w:p w:rsidR="00BA5080" w:rsidRDefault="00F10323">
      <w:pPr>
        <w:rPr>
          <w:iCs/>
        </w:rPr>
      </w:pPr>
      <w:r>
        <w:rPr>
          <w:iCs/>
        </w:rPr>
        <w:t>Подготовили:                                                                                               _________</w:t>
      </w:r>
    </w:p>
    <w:p w:rsidR="00BA5080" w:rsidRDefault="00BA5080">
      <w:pPr>
        <w:jc w:val="both"/>
        <w:rPr>
          <w:iCs/>
        </w:rPr>
      </w:pPr>
    </w:p>
    <w:p w:rsidR="00BA5080" w:rsidRDefault="00F10323">
      <w:pPr>
        <w:spacing w:after="8" w:line="360" w:lineRule="auto"/>
        <w:ind w:left="20"/>
        <w:contextualSpacing/>
        <w:jc w:val="both"/>
        <w:rPr>
          <w:iCs/>
          <w:sz w:val="28"/>
          <w:szCs w:val="28"/>
        </w:rPr>
      </w:pPr>
      <w:r>
        <w:rPr>
          <w:rStyle w:val="10"/>
          <w:rFonts w:eastAsia="Courier New"/>
          <w:sz w:val="24"/>
          <w:szCs w:val="24"/>
        </w:rPr>
        <w:t>Утверждаю:</w:t>
      </w:r>
    </w:p>
    <w:p w:rsidR="00BA5080" w:rsidRDefault="00F10323">
      <w:pPr>
        <w:jc w:val="both"/>
        <w:rPr>
          <w:iCs/>
        </w:rPr>
      </w:pPr>
      <w:r>
        <w:rPr>
          <w:iCs/>
        </w:rPr>
        <w:t xml:space="preserve">Заведующий </w:t>
      </w:r>
      <w:r>
        <w:t>кафедрой</w:t>
      </w:r>
    </w:p>
    <w:p w:rsidR="00BA5080" w:rsidRDefault="00F10323">
      <w:pPr>
        <w:jc w:val="both"/>
        <w:rPr>
          <w:iCs/>
        </w:rPr>
      </w:pPr>
      <w:r>
        <w:t>банковского дела и монетарного регулирования</w:t>
      </w:r>
    </w:p>
    <w:p w:rsidR="00BA5080" w:rsidRDefault="00F10323">
      <w:pPr>
        <w:jc w:val="both"/>
        <w:rPr>
          <w:iCs/>
        </w:rPr>
      </w:pPr>
      <w:r>
        <w:rPr>
          <w:iCs/>
        </w:rPr>
        <w:t>Финансового факультета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  М.А. Абрамова</w:t>
      </w:r>
    </w:p>
    <w:p w:rsidR="00BA5080" w:rsidRDefault="00BA5080">
      <w:pPr>
        <w:rPr>
          <w:iCs/>
        </w:rPr>
      </w:pPr>
    </w:p>
    <w:p w:rsidR="00BA5080" w:rsidRDefault="00F10323">
      <w:pPr>
        <w:rPr>
          <w:sz w:val="28"/>
          <w:szCs w:val="28"/>
        </w:rPr>
      </w:pPr>
      <w:r>
        <w:rPr>
          <w:iCs/>
        </w:rPr>
        <w:t>«    »                 20   г.</w:t>
      </w:r>
    </w:p>
    <w:p w:rsidR="00BA5080" w:rsidRDefault="00F10323">
      <w:pPr>
        <w:pStyle w:val="1"/>
        <w:spacing w:before="0" w:after="120"/>
        <w:ind w:firstLine="709"/>
        <w:rPr>
          <w:sz w:val="28"/>
          <w:szCs w:val="28"/>
        </w:rPr>
      </w:pPr>
      <w:bookmarkStart w:id="20" w:name="_Toc1815593952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8. Перечень основной и дополнительной учебной литературы, необходимой для освоения дисциплины</w:t>
      </w:r>
      <w:bookmarkEnd w:id="20"/>
    </w:p>
    <w:p w:rsidR="00BA5080" w:rsidRDefault="00F10323">
      <w:pPr>
        <w:pStyle w:val="afd"/>
        <w:spacing w:line="360" w:lineRule="auto"/>
        <w:ind w:left="720"/>
        <w:jc w:val="both"/>
        <w:rPr>
          <w:sz w:val="28"/>
          <w:szCs w:val="28"/>
        </w:rPr>
      </w:pPr>
      <w:r>
        <w:rPr>
          <w:b/>
          <w:sz w:val="28"/>
          <w:szCs w:val="28"/>
        </w:rPr>
        <w:t>Нормативно-правовые акты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Положение Банка России от 04.07.2018 №646-П «О методике определения величины собственных средств (капитала) кредитных организаций ("Базель III")»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Положение Банка России от 03.12.2015 г. № 510-П «О порядке расчета норматива краткосрочной ликвидности («Базель III») системно значимыми кредитными организациями»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Положение Банка России от 30.05.2014г. №421-П «О порядке расчета показателя краткосрочной ликвидности (Базель III)»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Указание Банка России от 07.08.2017 г. № 4482-У «О форме и порядке раскрытия кредитной организацией (головной кредитной организацией банковской группы) информации о принимаемых рисках, процедурах их оценки, управления рисками и капиталом»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Указание Банка России от 03.04.2017 г. № 4336-У «Об оценке экономического положения банков»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Указание Банка России от 07.12.2015 №3883-У «О порядке проведения Банком России оценки качества систем управления рисками и капиталом, достаточности капитала кредитной организации и банковской группы»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>Указание Банка России от 11.06.2014 г. № 3277-У «О методиках оценки финансовой устойчивости банка в целях признания ее достаточной для участия в системе страхования вкладов» (в действ. редакции).</w:t>
      </w:r>
    </w:p>
    <w:p w:rsidR="00BA5080" w:rsidRDefault="00F10323">
      <w:pPr>
        <w:pStyle w:val="afd"/>
        <w:numPr>
          <w:ilvl w:val="0"/>
          <w:numId w:val="8"/>
        </w:numPr>
        <w:spacing w:line="360" w:lineRule="auto"/>
        <w:jc w:val="both"/>
        <w:rPr>
          <w:iCs/>
        </w:rPr>
      </w:pPr>
      <w:r>
        <w:rPr>
          <w:sz w:val="28"/>
          <w:szCs w:val="28"/>
        </w:rPr>
        <w:t xml:space="preserve">Положение Банка России от 15.07.2020 N 729-П «О методике определения собственных средств (капитала) и обязательных </w:t>
      </w:r>
      <w:r>
        <w:rPr>
          <w:sz w:val="28"/>
          <w:szCs w:val="28"/>
        </w:rPr>
        <w:lastRenderedPageBreak/>
        <w:t>нормативов, надбавок к нормативам достаточности капитала, числовых значениях обязательных нормативов и размерах (лимитах) открытых валютных позиций банковских групп» (в действ. редакции).</w:t>
      </w:r>
    </w:p>
    <w:p w:rsidR="00BA5080" w:rsidRDefault="00BA5080">
      <w:pPr>
        <w:spacing w:line="360" w:lineRule="auto"/>
        <w:ind w:left="720"/>
        <w:rPr>
          <w:b/>
          <w:szCs w:val="28"/>
        </w:rPr>
      </w:pPr>
    </w:p>
    <w:p w:rsidR="00BA5080" w:rsidRDefault="00F10323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Рекомендуемая литература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а) основная литература</w:t>
      </w:r>
    </w:p>
    <w:p w:rsidR="00BA5080" w:rsidRDefault="00F10323">
      <w:pPr>
        <w:pStyle w:val="Style41"/>
        <w:widowControl/>
        <w:tabs>
          <w:tab w:val="left" w:pos="781"/>
        </w:tabs>
        <w:spacing w:line="360" w:lineRule="auto"/>
        <w:ind w:left="365" w:firstLine="0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>1. Валенцева, Н. И. Оценка финансовой устойчивости и перспектив деятельности кредитных организаций : учеб. для напр. магистратуры «Финансы и кредит» / Н. И. Валенцева, И. В. Ларионова, Д. А. Чичуленков. — 2-е изд., перераб. и доп. —    Москва : КноРус, 2021. — 325 с. — (Магистратура). — ISBN 978-5-406-08861-6. — ЭБС BOOK.ru. — URL:https://book.ru/book/941534 (дата обращения: 21.11.2024).  —  Текст : электронный.</w:t>
      </w:r>
    </w:p>
    <w:p w:rsidR="00BA5080" w:rsidRDefault="00F10323">
      <w:pPr>
        <w:pStyle w:val="Style41"/>
        <w:widowControl/>
        <w:tabs>
          <w:tab w:val="left" w:pos="355"/>
        </w:tabs>
        <w:spacing w:line="360" w:lineRule="auto"/>
        <w:ind w:left="365" w:firstLine="0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2.  Финансовые рынки в условиях цифровизации : монография / О. И. Лаврушин, А. В. Бердышев, С. В. Криворучко [и др.] ; под ред. К. В. Криничанского. — Москва : Русайнс, 2022. — 371 с. — текст непосредственный.- То же 2020. — ЭБС BOOK.ru. — URL: </w:t>
      </w:r>
      <w:hyperlink r:id="rId33">
        <w:r>
          <w:rPr>
            <w:szCs w:val="28"/>
          </w:rPr>
          <w:t>https://book.ru/book/935994</w:t>
        </w:r>
      </w:hyperlink>
      <w:r>
        <w:rPr>
          <w:rStyle w:val="FontStyle73"/>
          <w:sz w:val="28"/>
          <w:szCs w:val="28"/>
        </w:rPr>
        <w:t xml:space="preserve"> (дата обращения: 21.11.2024). — Текст : электронный.</w:t>
      </w:r>
    </w:p>
    <w:p w:rsidR="00BA5080" w:rsidRDefault="00F10323">
      <w:pPr>
        <w:pStyle w:val="Style48"/>
        <w:widowControl/>
        <w:tabs>
          <w:tab w:val="left" w:pos="355"/>
        </w:tabs>
        <w:spacing w:line="360" w:lineRule="auto"/>
        <w:ind w:left="365" w:firstLine="0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3.   Герасимова, Е. Б. Анализ финансовой устойчивости банка : учеб.  для студентов вузов, обуч. по напр. подгот.  38.04.08 «Финансы и кредит» (квалиф. (степень) «магистр») / Е. Б. Герасимова. — Москва : ИНФРА-М, 2019. — 366 с. — (Высшее образование: Магистратура). — текст непосредственный.- То же: . — ЭБС Znanium.com. — &lt;URL:http://znanium.com/catalog/document?id=350379&gt;. — &lt;URL:https://znanium.com/cover/1067/1067793.jpg&gt;. (дата обращения: 21.11.2024).  — Текст : электронный. </w:t>
      </w:r>
    </w:p>
    <w:p w:rsidR="00BA5080" w:rsidRDefault="00BA5080">
      <w:pPr>
        <w:pStyle w:val="Style48"/>
        <w:widowControl/>
        <w:tabs>
          <w:tab w:val="left" w:pos="781"/>
        </w:tabs>
        <w:spacing w:line="360" w:lineRule="auto"/>
        <w:ind w:left="426" w:firstLine="0"/>
        <w:jc w:val="both"/>
        <w:rPr>
          <w:rStyle w:val="FontStyle73"/>
          <w:sz w:val="28"/>
          <w:szCs w:val="28"/>
        </w:rPr>
      </w:pP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б) дополнительная литература</w:t>
      </w:r>
    </w:p>
    <w:p w:rsidR="00BA5080" w:rsidRDefault="00F10323">
      <w:pPr>
        <w:pStyle w:val="Style48"/>
        <w:widowControl/>
        <w:tabs>
          <w:tab w:val="left" w:pos="355"/>
        </w:tabs>
        <w:spacing w:line="360" w:lineRule="auto"/>
        <w:ind w:left="365" w:firstLine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4.   Банковский </w:t>
      </w:r>
      <w:r>
        <w:rPr>
          <w:sz w:val="28"/>
          <w:szCs w:val="28"/>
        </w:rPr>
        <w:t>менеджмент : учебник / О. И. Лаврушин, Н. И. Валенцева, И. В. Ларионова [и др.] ; под ред. О. И. Лаврушина. —7-е изд.-  Москва : КноРус, 2022.- 503 с. — текст непосредственный.- То же: 2023: ЭБС BOOK.RU.- URL: https://book.ru/book/949371 (дата обращения: 21.11. 2024). — Текст : электронный.</w:t>
      </w:r>
    </w:p>
    <w:p w:rsidR="00BA5080" w:rsidRDefault="00F10323">
      <w:pPr>
        <w:pStyle w:val="Style41"/>
        <w:widowControl/>
        <w:tabs>
          <w:tab w:val="left" w:pos="781"/>
        </w:tabs>
        <w:spacing w:line="360" w:lineRule="auto"/>
        <w:ind w:left="365" w:firstLine="0"/>
        <w:jc w:val="both"/>
        <w:rPr>
          <w:iCs/>
        </w:rPr>
      </w:pPr>
      <w:r>
        <w:rPr>
          <w:rStyle w:val="FontStyle73"/>
          <w:sz w:val="28"/>
          <w:szCs w:val="28"/>
        </w:rPr>
        <w:t>5.  Маркова, В. Д. Цифровая экономика : учебник /</w:t>
      </w:r>
      <w:r>
        <w:t xml:space="preserve"> </w:t>
      </w:r>
      <w:r>
        <w:rPr>
          <w:rStyle w:val="FontStyle73"/>
          <w:sz w:val="28"/>
          <w:szCs w:val="28"/>
        </w:rPr>
        <w:t>Институт экономики и организации промышленного производства Сибирского отделения Российской академии наук  / В. Д. Маркова. — Москва : ИНФРА-М, 2020. — 186 с. — текст непосредственный.-То же: 2022 ЭБС Znanium. — &lt;URL:http://znanium.com/catalog/document?id=400374&gt;.-&lt;URL:https://znanium.com/cover/1872/1872744.jpg&gt;. (дата обращения: 21.11.2024). — Текст : электронный.</w:t>
      </w:r>
    </w:p>
    <w:p w:rsidR="00BA5080" w:rsidRDefault="00F10323">
      <w:pPr>
        <w:pStyle w:val="Style48"/>
        <w:widowControl/>
        <w:tabs>
          <w:tab w:val="left" w:pos="355"/>
        </w:tabs>
        <w:spacing w:line="360" w:lineRule="auto"/>
        <w:ind w:left="365" w:firstLine="0"/>
        <w:jc w:val="both"/>
        <w:rPr>
          <w:iCs/>
        </w:rPr>
      </w:pPr>
      <w:r>
        <w:rPr>
          <w:sz w:val="28"/>
          <w:szCs w:val="28"/>
        </w:rPr>
        <w:t xml:space="preserve">6.   Финансовая система: цифровой вызов : монография / А. Е. Абрамов, Е. Н. Алифанова, Е. Р. Безсмертная [и др.]. — Москва : КноРус, 2022. — 232 с. — текст непосредственный.- То же:  </w:t>
      </w:r>
      <w:r>
        <w:rPr>
          <w:rStyle w:val="FontStyle73"/>
          <w:sz w:val="28"/>
          <w:szCs w:val="28"/>
        </w:rPr>
        <w:t xml:space="preserve">— ЭБС BOOK.ru. — </w:t>
      </w:r>
      <w:r>
        <w:rPr>
          <w:sz w:val="28"/>
          <w:szCs w:val="28"/>
        </w:rPr>
        <w:t xml:space="preserve">URL:https://book.ru/book/943662 (дата обращения: </w:t>
      </w:r>
      <w:r>
        <w:rPr>
          <w:rStyle w:val="FontStyle73"/>
          <w:sz w:val="28"/>
          <w:szCs w:val="28"/>
        </w:rPr>
        <w:t>21.11.2024</w:t>
      </w:r>
      <w:r>
        <w:rPr>
          <w:sz w:val="28"/>
          <w:szCs w:val="28"/>
        </w:rPr>
        <w:t>). — Текст : электронный.</w:t>
      </w:r>
    </w:p>
    <w:p w:rsidR="00BA5080" w:rsidRDefault="00F10323">
      <w:pPr>
        <w:pStyle w:val="Style48"/>
        <w:widowControl/>
        <w:tabs>
          <w:tab w:val="left" w:pos="355"/>
        </w:tabs>
        <w:spacing w:line="360" w:lineRule="auto"/>
        <w:ind w:left="365" w:firstLine="0"/>
        <w:jc w:val="both"/>
        <w:rPr>
          <w:iCs/>
        </w:rPr>
      </w:pPr>
      <w:r>
        <w:rPr>
          <w:sz w:val="28"/>
          <w:szCs w:val="28"/>
        </w:rPr>
        <w:t xml:space="preserve">7.    Цифровой бизнес :  </w:t>
      </w:r>
      <w:r>
        <w:rPr>
          <w:rStyle w:val="FontStyle73"/>
          <w:sz w:val="28"/>
          <w:szCs w:val="28"/>
        </w:rPr>
        <w:t xml:space="preserve">учебник </w:t>
      </w:r>
      <w:r>
        <w:rPr>
          <w:sz w:val="28"/>
          <w:szCs w:val="28"/>
        </w:rPr>
        <w:t xml:space="preserve">/ О. В. Китова, С. Н. Брускин, Л. П. Дьяконова [и др.] ; под науч. ред. О. В. Китовой. — Москва : ИНФРА-М, 2023. — 418 с.  </w:t>
      </w:r>
      <w:r>
        <w:rPr>
          <w:rStyle w:val="FontStyle73"/>
          <w:sz w:val="28"/>
          <w:szCs w:val="28"/>
        </w:rPr>
        <w:t>—текст непосредственный.- — То же: 2024.- ЭБС Znanium.com. —</w:t>
      </w:r>
      <w:r>
        <w:rPr>
          <w:sz w:val="28"/>
          <w:szCs w:val="28"/>
        </w:rPr>
        <w:t xml:space="preserve"> URL: &lt;URL:https://znanium.com/catalog/document?id=436774&gt;. — &lt;URL:https://znanium.com/cover/2119/2119104.jpg&gt;. (дата обращения: </w:t>
      </w:r>
      <w:r>
        <w:rPr>
          <w:rStyle w:val="FontStyle73"/>
          <w:sz w:val="28"/>
          <w:szCs w:val="28"/>
        </w:rPr>
        <w:t>21.11.2024</w:t>
      </w:r>
      <w:r>
        <w:rPr>
          <w:sz w:val="28"/>
          <w:szCs w:val="28"/>
        </w:rPr>
        <w:t xml:space="preserve">).  </w:t>
      </w:r>
      <w:r>
        <w:rPr>
          <w:rStyle w:val="FontStyle73"/>
          <w:sz w:val="28"/>
          <w:szCs w:val="28"/>
        </w:rPr>
        <w:t xml:space="preserve">— </w:t>
      </w:r>
      <w:r>
        <w:rPr>
          <w:sz w:val="28"/>
          <w:szCs w:val="28"/>
        </w:rPr>
        <w:t>Текст : электронный.</w:t>
      </w:r>
    </w:p>
    <w:p w:rsidR="00BA5080" w:rsidRDefault="00F10323">
      <w:pPr>
        <w:pStyle w:val="Style48"/>
        <w:widowControl/>
        <w:tabs>
          <w:tab w:val="left" w:pos="355"/>
        </w:tabs>
        <w:spacing w:line="360" w:lineRule="auto"/>
        <w:ind w:left="365" w:firstLine="0"/>
        <w:jc w:val="both"/>
        <w:rPr>
          <w:iCs/>
        </w:rPr>
      </w:pPr>
      <w:r>
        <w:rPr>
          <w:rStyle w:val="FontStyle73"/>
          <w:sz w:val="28"/>
          <w:szCs w:val="28"/>
        </w:rPr>
        <w:t xml:space="preserve">8.    Цифровизация финансовых рынков: новые компетенции : монография / И. А. Баздырев, Э. И. Гибадуллин, Д. Р. Дидигов [и др.] ; под ред. К. В. Криничанского, Б. Б. Рубцова. — Москва : Русайнс, 2023. — 126 с. — текст непосредственный.-То же: 2021 . — ЭБС BOOK.ru. — URL: </w:t>
      </w:r>
      <w:hyperlink r:id="rId34">
        <w:r>
          <w:rPr>
            <w:sz w:val="28"/>
            <w:szCs w:val="28"/>
          </w:rPr>
          <w:t>https://book.ru/book/940280</w:t>
        </w:r>
      </w:hyperlink>
      <w:r>
        <w:rPr>
          <w:rStyle w:val="FontStyle73"/>
          <w:sz w:val="28"/>
          <w:szCs w:val="28"/>
        </w:rPr>
        <w:t xml:space="preserve"> (дата обращения: 21.11.2024). — Текст : электронный. </w:t>
      </w:r>
    </w:p>
    <w:p w:rsidR="00BA5080" w:rsidRDefault="00F10323">
      <w:pPr>
        <w:pStyle w:val="1"/>
        <w:spacing w:before="0" w:after="120"/>
        <w:ind w:firstLine="709"/>
        <w:rPr>
          <w:sz w:val="28"/>
          <w:szCs w:val="28"/>
        </w:rPr>
      </w:pPr>
      <w:bookmarkStart w:id="21" w:name="_Toc1815593962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9. Перечень ресурсов информационно-телекоммуникационной сети «Интернет», необходимых для освоения дисциплины</w:t>
      </w:r>
      <w:bookmarkEnd w:id="21"/>
    </w:p>
    <w:p w:rsidR="00BA5080" w:rsidRPr="00FB3A23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  <w:lang w:val="en-US"/>
        </w:rPr>
      </w:pPr>
      <w:r>
        <w:rPr>
          <w:sz w:val="28"/>
          <w:szCs w:val="28"/>
        </w:rPr>
        <w:t xml:space="preserve">Банк России. Раскрытие информации кредитными организациями. </w:t>
      </w:r>
      <w:r>
        <w:rPr>
          <w:sz w:val="28"/>
          <w:szCs w:val="28"/>
          <w:lang w:val="en-US"/>
        </w:rPr>
        <w:t xml:space="preserve">URL: </w:t>
      </w:r>
      <w:hyperlink r:id="rId35">
        <w:r>
          <w:rPr>
            <w:sz w:val="28"/>
            <w:szCs w:val="28"/>
            <w:lang w:val="en-US"/>
          </w:rPr>
          <w:t>http://www.cbr.ru/banking_sector/otchetnost-kreditnykh-organizaciy/transparent</w:t>
        </w:r>
      </w:hyperlink>
      <w:hyperlink r:id="rId36">
        <w:r>
          <w:rPr>
            <w:sz w:val="28"/>
            <w:szCs w:val="28"/>
            <w:lang w:val="en-US"/>
          </w:rPr>
          <w:t>/</w:t>
        </w:r>
      </w:hyperlink>
      <w:r>
        <w:rPr>
          <w:sz w:val="28"/>
          <w:szCs w:val="28"/>
          <w:lang w:val="en-US"/>
        </w:rPr>
        <w:t xml:space="preserve">. </w:t>
      </w:r>
    </w:p>
    <w:p w:rsidR="00BA5080" w:rsidRPr="00FB3A23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  <w:lang w:val="en-US"/>
        </w:rPr>
      </w:pPr>
      <w:r>
        <w:rPr>
          <w:sz w:val="28"/>
          <w:szCs w:val="28"/>
        </w:rPr>
        <w:t xml:space="preserve">Центр раскрытия корпоративной информации Интерфакс. </w:t>
      </w:r>
      <w:r>
        <w:rPr>
          <w:sz w:val="28"/>
          <w:szCs w:val="28"/>
          <w:lang w:val="en-US"/>
        </w:rPr>
        <w:t xml:space="preserve">URL: </w:t>
      </w:r>
      <w:hyperlink r:id="rId37">
        <w:r>
          <w:rPr>
            <w:sz w:val="28"/>
            <w:szCs w:val="28"/>
            <w:lang w:val="en-US"/>
          </w:rPr>
          <w:t>https://e-disclosure.ru/?attempt=1</w:t>
        </w:r>
      </w:hyperlink>
      <w:r>
        <w:rPr>
          <w:sz w:val="28"/>
          <w:szCs w:val="28"/>
          <w:lang w:val="en-US"/>
        </w:rPr>
        <w:t xml:space="preserve">. </w:t>
      </w:r>
    </w:p>
    <w:p w:rsidR="00BA5080" w:rsidRPr="00FB3A23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  <w:lang w:val="en-US"/>
        </w:rPr>
      </w:pPr>
      <w:r>
        <w:rPr>
          <w:sz w:val="28"/>
          <w:szCs w:val="28"/>
        </w:rPr>
        <w:t xml:space="preserve">Портал арбитражных дел «Электронное правосудие». </w:t>
      </w:r>
      <w:r>
        <w:rPr>
          <w:sz w:val="28"/>
          <w:szCs w:val="28"/>
          <w:lang w:val="en-US"/>
        </w:rPr>
        <w:t xml:space="preserve">URL: </w:t>
      </w:r>
      <w:hyperlink r:id="rId38">
        <w:r>
          <w:rPr>
            <w:sz w:val="28"/>
            <w:szCs w:val="28"/>
            <w:lang w:val="en-US"/>
          </w:rPr>
          <w:t>https://kad.arbitr.ru/</w:t>
        </w:r>
      </w:hyperlink>
      <w:r>
        <w:rPr>
          <w:sz w:val="28"/>
          <w:szCs w:val="28"/>
          <w:lang w:val="en-US"/>
        </w:rPr>
        <w:t>.</w:t>
      </w:r>
    </w:p>
    <w:p w:rsidR="00BA5080" w:rsidRDefault="00F10323">
      <w:pPr>
        <w:pStyle w:val="afd"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bCs/>
          <w:sz w:val="28"/>
          <w:szCs w:val="28"/>
        </w:rPr>
        <w:t xml:space="preserve">Портал банковского аналитика.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39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</w:hyperlink>
      <w:hyperlink r:id="rId40">
        <w:r>
          <w:rPr>
            <w:bCs/>
            <w:sz w:val="28"/>
            <w:szCs w:val="28"/>
            <w:lang w:val="en-US"/>
          </w:rPr>
          <w:t>analizbankov</w:t>
        </w:r>
      </w:hyperlink>
      <w:r>
        <w:rPr>
          <w:bCs/>
          <w:sz w:val="28"/>
          <w:szCs w:val="28"/>
        </w:rPr>
        <w:t>.</w:t>
      </w:r>
      <w:r>
        <w:rPr>
          <w:bCs/>
          <w:sz w:val="28"/>
          <w:szCs w:val="28"/>
          <w:lang w:val="en-US"/>
        </w:rPr>
        <w:t>ru</w:t>
      </w:r>
      <w:r>
        <w:rPr>
          <w:bCs/>
          <w:sz w:val="28"/>
          <w:szCs w:val="28"/>
        </w:rPr>
        <w:t>/</w:t>
      </w:r>
      <w:r>
        <w:rPr>
          <w:bCs/>
          <w:sz w:val="28"/>
          <w:szCs w:val="28"/>
          <w:lang w:val="en-US"/>
        </w:rPr>
        <w:t>bank</w:t>
      </w:r>
      <w:r>
        <w:rPr>
          <w:bCs/>
          <w:sz w:val="28"/>
          <w:szCs w:val="28"/>
        </w:rPr>
        <w:t>.</w:t>
      </w:r>
      <w:r>
        <w:rPr>
          <w:bCs/>
          <w:sz w:val="28"/>
          <w:szCs w:val="28"/>
          <w:lang w:val="en-US"/>
        </w:rPr>
        <w:t>php</w:t>
      </w:r>
    </w:p>
    <w:p w:rsidR="00BA5080" w:rsidRPr="00FB3A23" w:rsidRDefault="00F10323">
      <w:pPr>
        <w:pStyle w:val="afd"/>
        <w:numPr>
          <w:ilvl w:val="0"/>
          <w:numId w:val="9"/>
        </w:numPr>
        <w:spacing w:after="120" w:line="276" w:lineRule="auto"/>
        <w:jc w:val="both"/>
        <w:rPr>
          <w:iCs/>
          <w:lang w:val="en-US"/>
        </w:rPr>
      </w:pPr>
      <w:r>
        <w:rPr>
          <w:bCs/>
          <w:sz w:val="28"/>
          <w:szCs w:val="28"/>
        </w:rPr>
        <w:t xml:space="preserve">Приложение для бизнес-аналитики </w:t>
      </w:r>
      <w:r>
        <w:rPr>
          <w:bCs/>
          <w:sz w:val="28"/>
          <w:szCs w:val="28"/>
          <w:lang w:val="en-US"/>
        </w:rPr>
        <w:t>MS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Power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BI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Desktop</w:t>
      </w:r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1">
        <w:r>
          <w:rPr>
            <w:bCs/>
            <w:sz w:val="28"/>
            <w:szCs w:val="28"/>
            <w:lang w:val="en-US"/>
          </w:rPr>
          <w:t>https://</w:t>
        </w:r>
      </w:hyperlink>
      <w:hyperlink r:id="rId42">
        <w:r>
          <w:rPr>
            <w:bCs/>
            <w:sz w:val="28"/>
            <w:szCs w:val="28"/>
            <w:lang w:val="en-US"/>
          </w:rPr>
          <w:t>www.microsoft.com/ru-RU/download/details.aspx?id=58494</w:t>
        </w:r>
      </w:hyperlink>
      <w:r>
        <w:rPr>
          <w:bCs/>
          <w:sz w:val="28"/>
          <w:szCs w:val="28"/>
          <w:lang w:val="en-US"/>
        </w:rPr>
        <w:t xml:space="preserve"> </w:t>
      </w:r>
    </w:p>
    <w:p w:rsidR="00BA5080" w:rsidRDefault="00F10323">
      <w:pPr>
        <w:pStyle w:val="afd"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bCs/>
          <w:sz w:val="28"/>
          <w:szCs w:val="28"/>
        </w:rPr>
        <w:t xml:space="preserve">Система управления проектами </w:t>
      </w:r>
      <w:r>
        <w:rPr>
          <w:bCs/>
          <w:sz w:val="28"/>
          <w:szCs w:val="28"/>
          <w:lang w:val="en-US"/>
        </w:rPr>
        <w:t>YouGile</w:t>
      </w:r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43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  <w:r>
          <w:rPr>
            <w:bCs/>
            <w:sz w:val="28"/>
            <w:szCs w:val="28"/>
            <w:lang w:val="en-US"/>
          </w:rPr>
          <w:t>ru</w:t>
        </w:r>
        <w:r>
          <w:rPr>
            <w:bCs/>
            <w:sz w:val="28"/>
            <w:szCs w:val="28"/>
          </w:rPr>
          <w:t>.</w:t>
        </w:r>
        <w:r>
          <w:rPr>
            <w:bCs/>
            <w:sz w:val="28"/>
            <w:szCs w:val="28"/>
            <w:lang w:val="en-US"/>
          </w:rPr>
          <w:t>yougile</w:t>
        </w:r>
        <w:r>
          <w:rPr>
            <w:bCs/>
            <w:sz w:val="28"/>
            <w:szCs w:val="28"/>
          </w:rPr>
          <w:t>.</w:t>
        </w:r>
        <w:r>
          <w:rPr>
            <w:bCs/>
            <w:sz w:val="28"/>
            <w:szCs w:val="28"/>
            <w:lang w:val="en-US"/>
          </w:rPr>
          <w:t>com</w:t>
        </w:r>
      </w:hyperlink>
      <w:hyperlink r:id="rId44">
        <w:r>
          <w:rPr>
            <w:bCs/>
            <w:sz w:val="28"/>
            <w:szCs w:val="28"/>
          </w:rPr>
          <w:t>/</w:t>
        </w:r>
      </w:hyperlink>
    </w:p>
    <w:p w:rsidR="00BA5080" w:rsidRPr="00FB3A23" w:rsidRDefault="00F10323">
      <w:pPr>
        <w:pStyle w:val="afd"/>
        <w:numPr>
          <w:ilvl w:val="0"/>
          <w:numId w:val="9"/>
        </w:numPr>
        <w:spacing w:after="120" w:line="276" w:lineRule="auto"/>
        <w:jc w:val="both"/>
        <w:rPr>
          <w:iCs/>
          <w:lang w:val="en-US"/>
        </w:rPr>
      </w:pPr>
      <w:r>
        <w:rPr>
          <w:bCs/>
          <w:sz w:val="28"/>
          <w:szCs w:val="28"/>
        </w:rPr>
        <w:t xml:space="preserve">Сервис визуализации и анализа данных от Yandex Cloud. </w:t>
      </w:r>
      <w:r>
        <w:rPr>
          <w:bCs/>
          <w:sz w:val="28"/>
          <w:szCs w:val="28"/>
          <w:lang w:val="en-US"/>
        </w:rPr>
        <w:t xml:space="preserve">URL: </w:t>
      </w:r>
      <w:hyperlink r:id="rId45">
        <w:r>
          <w:rPr>
            <w:bCs/>
            <w:sz w:val="28"/>
            <w:szCs w:val="28"/>
            <w:lang w:val="en-US"/>
          </w:rPr>
          <w:t>https://cloud.yandex.ru/docs/datalens</w:t>
        </w:r>
      </w:hyperlink>
      <w:hyperlink r:id="rId46">
        <w:r>
          <w:rPr>
            <w:bCs/>
            <w:sz w:val="28"/>
            <w:szCs w:val="28"/>
            <w:lang w:val="en-US"/>
          </w:rPr>
          <w:t>/</w:t>
        </w:r>
      </w:hyperlink>
    </w:p>
    <w:p w:rsidR="00BA5080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>Электронная библиотека Финансового университета (ЭБ) http://elib.fa.ru/</w:t>
      </w:r>
    </w:p>
    <w:p w:rsidR="00BA5080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 xml:space="preserve"> Электронно-библиотечная система BOOK.RU http://www.book.ru</w:t>
      </w:r>
    </w:p>
    <w:p w:rsidR="00BA5080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 xml:space="preserve"> Электронно-библиотечная система </w:t>
      </w:r>
      <w:r>
        <w:rPr>
          <w:color w:val="000000" w:themeColor="text1"/>
          <w:sz w:val="28"/>
          <w:szCs w:val="28"/>
          <w:lang w:val="en-US"/>
        </w:rPr>
        <w:t>Znanium</w:t>
      </w:r>
      <w:r>
        <w:rPr>
          <w:color w:val="000000" w:themeColor="text1"/>
          <w:sz w:val="28"/>
          <w:szCs w:val="28"/>
        </w:rPr>
        <w:t xml:space="preserve"> </w:t>
      </w:r>
      <w:hyperlink r:id="rId47">
        <w:r>
          <w:rPr>
            <w:color w:val="000000" w:themeColor="text1"/>
            <w:sz w:val="28"/>
            <w:szCs w:val="28"/>
          </w:rPr>
          <w:t>http://www.znanium.</w:t>
        </w:r>
        <w:r>
          <w:rPr>
            <w:sz w:val="28"/>
            <w:szCs w:val="28"/>
          </w:rPr>
          <w:t xml:space="preserve"> ru</w:t>
        </w:r>
        <w:r>
          <w:rPr>
            <w:color w:val="000000" w:themeColor="text1"/>
            <w:sz w:val="28"/>
            <w:szCs w:val="28"/>
          </w:rPr>
          <w:t xml:space="preserve"> </w:t>
        </w:r>
      </w:hyperlink>
    </w:p>
    <w:p w:rsidR="00BA5080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 xml:space="preserve">  Научная электронная библиотека eLibrary.ru </w:t>
      </w:r>
      <w:hyperlink r:id="rId48">
        <w:r>
          <w:rPr>
            <w:sz w:val="28"/>
            <w:szCs w:val="28"/>
          </w:rPr>
          <w:t>https://www.elibrary.ru/</w:t>
        </w:r>
      </w:hyperlink>
    </w:p>
    <w:p w:rsidR="00BA5080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 xml:space="preserve"> Электронная библиотека Издательского дома «Гребенников» </w:t>
      </w:r>
      <w:hyperlink r:id="rId49">
        <w:r>
          <w:rPr>
            <w:sz w:val="28"/>
            <w:szCs w:val="28"/>
          </w:rPr>
          <w:t>https://grebennikon.ru/</w:t>
        </w:r>
      </w:hyperlink>
    </w:p>
    <w:p w:rsidR="00BA5080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</w:rPr>
      </w:pPr>
      <w:r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Ресурсы информационно-аналитического агентства по финансовым рынкам Cbonds.ru </w:t>
      </w:r>
      <w:hyperlink r:id="rId50">
        <w:r>
          <w:rPr>
            <w:sz w:val="28"/>
            <w:szCs w:val="28"/>
          </w:rPr>
          <w:t>https://cbonds.ru/</w:t>
        </w:r>
      </w:hyperlink>
      <w:r>
        <w:rPr>
          <w:sz w:val="28"/>
          <w:szCs w:val="28"/>
        </w:rPr>
        <w:t xml:space="preserve">  </w:t>
      </w:r>
    </w:p>
    <w:p w:rsidR="00BA5080" w:rsidRPr="00FB3A23" w:rsidRDefault="00F10323">
      <w:pPr>
        <w:pStyle w:val="afd"/>
        <w:widowControl/>
        <w:numPr>
          <w:ilvl w:val="0"/>
          <w:numId w:val="9"/>
        </w:numPr>
        <w:spacing w:after="120" w:line="276" w:lineRule="auto"/>
        <w:jc w:val="both"/>
        <w:rPr>
          <w:iCs/>
          <w:lang w:val="en-US"/>
        </w:rPr>
      </w:pPr>
      <w:r>
        <w:rPr>
          <w:color w:val="000000" w:themeColor="text1"/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CNKI. Academic Reference https://ar.oversea.cnki.net/</w:t>
      </w:r>
    </w:p>
    <w:p w:rsidR="00BA5080" w:rsidRDefault="00BA5080">
      <w:pPr>
        <w:pStyle w:val="afd"/>
        <w:widowControl/>
        <w:spacing w:after="120" w:line="276" w:lineRule="auto"/>
        <w:ind w:left="1428"/>
        <w:jc w:val="both"/>
        <w:rPr>
          <w:sz w:val="28"/>
          <w:szCs w:val="28"/>
          <w:lang w:val="en-US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2" w:name="_Toc181559397"/>
      <w:r>
        <w:rPr>
          <w:rFonts w:ascii="Times New Roman" w:hAnsi="Times New Roman" w:cs="Times New Roman"/>
          <w:b/>
          <w:color w:val="auto"/>
          <w:sz w:val="28"/>
          <w:szCs w:val="28"/>
        </w:rPr>
        <w:t>10. Методические указания для обучающихся по освоению дисциплины</w:t>
      </w:r>
      <w:bookmarkEnd w:id="22"/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 студентов реализуется в соответствии с приказом Финансового университета от 11.05.2021 № 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университете».</w:t>
      </w:r>
    </w:p>
    <w:p w:rsidR="00BA5080" w:rsidRDefault="00F10323">
      <w:pPr>
        <w:spacing w:line="360" w:lineRule="auto"/>
        <w:ind w:firstLine="709"/>
        <w:jc w:val="both"/>
        <w:rPr>
          <w:iCs/>
        </w:rPr>
      </w:pPr>
      <w:r>
        <w:rPr>
          <w:sz w:val="28"/>
          <w:szCs w:val="28"/>
        </w:rPr>
        <w:lastRenderedPageBreak/>
        <w:t xml:space="preserve"> Промежуточная аттестация проводится в соответствии с приказом Финансового университета от 01.10.2024 № 2187/о «Об утверждении Положения о проведении текущего контроля успеваемости и промежуточной аттестации студентов, обучающихся по образовательным программам высшего образования в Финансовом университете». Кафедрой могут разрабатываться дополнительные методические рекомендации для отдельных форм проведения аудиторных занятий и самостоятельной работы студентов</w:t>
      </w:r>
      <w:r>
        <w:rPr>
          <w:rFonts w:eastAsia="Times New Roman"/>
          <w:sz w:val="28"/>
          <w:szCs w:val="28"/>
        </w:rPr>
        <w:t xml:space="preserve">.  </w:t>
      </w:r>
    </w:p>
    <w:p w:rsidR="00BA5080" w:rsidRDefault="00BA5080">
      <w:pPr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3" w:name="_Toc181559398"/>
      <w:r>
        <w:rPr>
          <w:rFonts w:ascii="Times New Roman" w:hAnsi="Times New Roman" w:cs="Times New Roman"/>
          <w:b/>
          <w:color w:val="auto"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23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BA5080" w:rsidRDefault="00F10323">
      <w:pPr>
        <w:keepNext/>
        <w:jc w:val="both"/>
        <w:outlineLvl w:val="0"/>
        <w:rPr>
          <w:rFonts w:eastAsia="Calibri"/>
          <w:b/>
          <w:bCs/>
          <w:kern w:val="2"/>
          <w:sz w:val="28"/>
          <w:szCs w:val="28"/>
        </w:rPr>
      </w:pPr>
      <w:bookmarkStart w:id="24" w:name="_Toc181559399"/>
      <w:bookmarkStart w:id="25" w:name="_Toc115871084"/>
      <w:bookmarkStart w:id="26" w:name="_Toc22036690"/>
      <w:bookmarkStart w:id="27" w:name="_Toc531686467"/>
      <w:bookmarkStart w:id="28" w:name="_Toc531614950"/>
      <w:r>
        <w:rPr>
          <w:rFonts w:eastAsia="Calibri"/>
          <w:b/>
          <w:bCs/>
          <w:kern w:val="2"/>
          <w:sz w:val="28"/>
          <w:szCs w:val="28"/>
        </w:rPr>
        <w:t>11. 1. Комплект лицензионного программного обеспечения:</w:t>
      </w:r>
      <w:bookmarkEnd w:id="24"/>
      <w:bookmarkEnd w:id="25"/>
      <w:bookmarkEnd w:id="26"/>
      <w:bookmarkEnd w:id="27"/>
      <w:bookmarkEnd w:id="28"/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bookmarkStart w:id="29" w:name="_Toc531686468"/>
      <w:bookmarkStart w:id="30" w:name="_Toc531614951"/>
      <w:r>
        <w:rPr>
          <w:sz w:val="28"/>
          <w:szCs w:val="28"/>
        </w:rPr>
        <w:t xml:space="preserve">1. ОС </w:t>
      </w:r>
      <w:r>
        <w:rPr>
          <w:sz w:val="28"/>
          <w:szCs w:val="28"/>
          <w:lang w:val="en-US"/>
        </w:rPr>
        <w:t>Windows</w:t>
      </w:r>
      <w:r>
        <w:rPr>
          <w:sz w:val="28"/>
          <w:szCs w:val="28"/>
        </w:rPr>
        <w:t xml:space="preserve"> или ОС </w:t>
      </w:r>
      <w:r>
        <w:rPr>
          <w:sz w:val="28"/>
          <w:szCs w:val="28"/>
          <w:lang w:val="en-US"/>
        </w:rPr>
        <w:t>Astra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Linux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>
        <w:rPr>
          <w:sz w:val="28"/>
          <w:szCs w:val="28"/>
          <w:lang w:val="en-US"/>
        </w:rPr>
        <w:t>Microsoft</w:t>
      </w:r>
      <w:r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Office</w:t>
      </w:r>
      <w:bookmarkEnd w:id="29"/>
      <w:bookmarkEnd w:id="30"/>
      <w:r>
        <w:rPr>
          <w:sz w:val="28"/>
          <w:szCs w:val="28"/>
        </w:rPr>
        <w:t xml:space="preserve"> или пакет </w:t>
      </w:r>
      <w:r>
        <w:rPr>
          <w:sz w:val="28"/>
          <w:szCs w:val="28"/>
          <w:lang w:val="en-US"/>
        </w:rPr>
        <w:t>LibreOffice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Приложение для бизнес-аналитики </w:t>
      </w:r>
      <w:r>
        <w:rPr>
          <w:sz w:val="28"/>
          <w:szCs w:val="28"/>
          <w:lang w:val="en-US"/>
        </w:rPr>
        <w:t>MS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Power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BI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Desktop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Онлайн-приложение для бизнес-аналитики</w:t>
      </w:r>
      <w:r>
        <w:t xml:space="preserve"> </w:t>
      </w:r>
      <w:r>
        <w:rPr>
          <w:sz w:val="28"/>
          <w:szCs w:val="28"/>
        </w:rPr>
        <w:t>Yandex DataLens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bookmarkStart w:id="31" w:name="_Toc531686469"/>
      <w:bookmarkStart w:id="32" w:name="_Toc531614952"/>
      <w:r>
        <w:rPr>
          <w:sz w:val="28"/>
          <w:szCs w:val="28"/>
        </w:rPr>
        <w:t xml:space="preserve">5. Антивирус </w:t>
      </w:r>
      <w:bookmarkEnd w:id="31"/>
      <w:bookmarkEnd w:id="32"/>
      <w:r>
        <w:rPr>
          <w:sz w:val="28"/>
          <w:szCs w:val="28"/>
          <w:lang w:val="en-US"/>
        </w:rPr>
        <w:t>Kaspersky</w:t>
      </w:r>
    </w:p>
    <w:p w:rsidR="00BA5080" w:rsidRDefault="00F10323">
      <w:pPr>
        <w:keepNext/>
        <w:jc w:val="both"/>
        <w:outlineLvl w:val="0"/>
        <w:rPr>
          <w:rFonts w:eastAsia="Calibri"/>
          <w:bCs/>
          <w:kern w:val="2"/>
          <w:sz w:val="28"/>
          <w:szCs w:val="28"/>
        </w:rPr>
      </w:pPr>
      <w:bookmarkStart w:id="33" w:name="_Toc181559400"/>
      <w:bookmarkStart w:id="34" w:name="_Toc115871085"/>
      <w:bookmarkStart w:id="35" w:name="_Toc22036691"/>
      <w:bookmarkStart w:id="36" w:name="_Toc531686470"/>
      <w:bookmarkStart w:id="37" w:name="_Toc531614953"/>
      <w:r>
        <w:rPr>
          <w:rFonts w:eastAsia="Calibri"/>
          <w:b/>
          <w:bCs/>
          <w:kern w:val="2"/>
          <w:sz w:val="28"/>
          <w:szCs w:val="28"/>
        </w:rPr>
        <w:t>11.2. Современные профессиональные базы данных и информационные справочные системы</w:t>
      </w:r>
      <w:bookmarkEnd w:id="33"/>
      <w:bookmarkEnd w:id="34"/>
      <w:bookmarkEnd w:id="35"/>
      <w:bookmarkEnd w:id="36"/>
      <w:bookmarkEnd w:id="37"/>
    </w:p>
    <w:p w:rsidR="00BA5080" w:rsidRDefault="00BA5080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BA5080" w:rsidRDefault="00F10323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1. </w:t>
      </w:r>
      <w:r>
        <w:rPr>
          <w:sz w:val="28"/>
          <w:szCs w:val="28"/>
        </w:rPr>
        <w:t xml:space="preserve">Банк России. Раскрытие информации кредитными организациями. 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1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cbr</w:t>
        </w:r>
        <w:r>
          <w:rPr>
            <w:sz w:val="28"/>
            <w:szCs w:val="28"/>
          </w:rPr>
          <w:t>.</w:t>
        </w:r>
        <w:r>
          <w:rPr>
            <w:sz w:val="28"/>
            <w:szCs w:val="28"/>
            <w:lang w:val="en-US"/>
          </w:rPr>
          <w:t>ru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banking</w:t>
        </w:r>
        <w:r>
          <w:rPr>
            <w:sz w:val="28"/>
            <w:szCs w:val="28"/>
          </w:rPr>
          <w:t>_</w:t>
        </w:r>
        <w:r>
          <w:rPr>
            <w:sz w:val="28"/>
            <w:szCs w:val="28"/>
            <w:lang w:val="en-US"/>
          </w:rPr>
          <w:t>sector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otchetnost</w:t>
        </w:r>
        <w:r>
          <w:rPr>
            <w:sz w:val="28"/>
            <w:szCs w:val="28"/>
          </w:rPr>
          <w:t>-</w:t>
        </w:r>
        <w:r>
          <w:rPr>
            <w:sz w:val="28"/>
            <w:szCs w:val="28"/>
            <w:lang w:val="en-US"/>
          </w:rPr>
          <w:t>kreditnykh</w:t>
        </w:r>
        <w:r>
          <w:rPr>
            <w:sz w:val="28"/>
            <w:szCs w:val="28"/>
          </w:rPr>
          <w:t>-</w:t>
        </w:r>
        <w:r>
          <w:rPr>
            <w:sz w:val="28"/>
            <w:szCs w:val="28"/>
            <w:lang w:val="en-US"/>
          </w:rPr>
          <w:t>organizaciy</w:t>
        </w:r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transparent</w:t>
        </w:r>
        <w:r>
          <w:rPr>
            <w:sz w:val="28"/>
            <w:szCs w:val="28"/>
          </w:rPr>
          <w:t>/</w:t>
        </w:r>
      </w:hyperlink>
      <w:r>
        <w:rPr>
          <w:rFonts w:eastAsia="Calibri"/>
          <w:bCs/>
          <w:sz w:val="28"/>
          <w:szCs w:val="28"/>
        </w:rPr>
        <w:t xml:space="preserve"> .</w:t>
      </w:r>
    </w:p>
    <w:p w:rsidR="00BA5080" w:rsidRDefault="00F10323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2. Портал банковского аналитика. </w:t>
      </w:r>
      <w:r>
        <w:rPr>
          <w:sz w:val="28"/>
          <w:szCs w:val="28"/>
        </w:rPr>
        <w:t xml:space="preserve">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2">
        <w:r>
          <w:rPr>
            <w:rFonts w:eastAsia="Calibri"/>
            <w:bCs/>
            <w:sz w:val="28"/>
            <w:szCs w:val="28"/>
          </w:rPr>
          <w:t>https://analizbankov.ru/bank.php</w:t>
        </w:r>
      </w:hyperlink>
      <w:r>
        <w:rPr>
          <w:rFonts w:eastAsia="Calibri"/>
          <w:bCs/>
          <w:sz w:val="28"/>
          <w:szCs w:val="28"/>
        </w:rPr>
        <w:t xml:space="preserve">. </w:t>
      </w:r>
    </w:p>
    <w:p w:rsidR="00BA5080" w:rsidRDefault="00F10323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>3. Портал арбитражных дел «Электронное правосудие» (</w:t>
      </w:r>
      <w:hyperlink r:id="rId53">
        <w:r>
          <w:rPr>
            <w:sz w:val="28"/>
            <w:szCs w:val="28"/>
          </w:rPr>
          <w:t>https://kad.arbitr.ru/</w:t>
        </w:r>
      </w:hyperlink>
      <w:r>
        <w:rPr>
          <w:sz w:val="28"/>
          <w:szCs w:val="28"/>
        </w:rPr>
        <w:t>).</w:t>
      </w:r>
    </w:p>
    <w:p w:rsidR="00BA5080" w:rsidRDefault="00F10323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4. Информационно-правовая система «Гарант»</w:t>
      </w:r>
    </w:p>
    <w:p w:rsidR="00BA5080" w:rsidRDefault="00F10323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5. Информационно-правовая система «Консультант Плюс»</w:t>
      </w:r>
    </w:p>
    <w:p w:rsidR="00BA5080" w:rsidRDefault="00BA5080">
      <w:pPr>
        <w:spacing w:line="360" w:lineRule="auto"/>
        <w:jc w:val="both"/>
        <w:rPr>
          <w:bCs/>
          <w:sz w:val="28"/>
          <w:szCs w:val="28"/>
        </w:rPr>
      </w:pPr>
    </w:p>
    <w:p w:rsidR="00BA5080" w:rsidRDefault="00F10323">
      <w:pPr>
        <w:shd w:val="clear" w:color="auto" w:fill="FFFFFF"/>
        <w:tabs>
          <w:tab w:val="left" w:pos="442"/>
        </w:tabs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BA5080" w:rsidRDefault="00F10323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Указанные средства не используются</w:t>
      </w:r>
    </w:p>
    <w:p w:rsidR="00BA5080" w:rsidRDefault="00BA5080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BA5080" w:rsidRDefault="00F10323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8" w:name="_Toc181559401"/>
      <w:r>
        <w:rPr>
          <w:rFonts w:ascii="Times New Roman" w:hAnsi="Times New Roman" w:cs="Times New Roman"/>
          <w:b/>
          <w:color w:val="auto"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38"/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компьютерные классы с выходом в Интернет;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аудитории, оборудованные мультимедийными средствами обучения;</w:t>
      </w:r>
    </w:p>
    <w:p w:rsidR="00BA5080" w:rsidRDefault="00F1032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доступ к современным информационным системам.</w:t>
      </w:r>
    </w:p>
    <w:sectPr w:rsidR="00BA5080">
      <w:headerReference w:type="default" r:id="rId54"/>
      <w:footerReference w:type="default" r:id="rId55"/>
      <w:pgSz w:w="11906" w:h="16838"/>
      <w:pgMar w:top="1134" w:right="850" w:bottom="1134" w:left="1701" w:header="708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5F2B" w:rsidRDefault="00BD5F2B">
      <w:r>
        <w:separator/>
      </w:r>
    </w:p>
  </w:endnote>
  <w:endnote w:type="continuationSeparator" w:id="0">
    <w:p w:rsidR="00BD5F2B" w:rsidRDefault="00BD5F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Symbol">
    <w:altName w:val="Times New Roman"/>
    <w:charset w:val="01"/>
    <w:family w:val="roman"/>
    <w:pitch w:val="default"/>
  </w:font>
  <w:font w:name="PT Astra Serif">
    <w:altName w:val="Times New Roman"/>
    <w:charset w:val="01"/>
    <w:family w:val="roman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Source Han Sans CN Regular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widowControl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widowControl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widowControl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widowControl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widowControl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widowControl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5F2B" w:rsidRDefault="00BD5F2B">
      <w:pPr>
        <w:rPr>
          <w:sz w:val="12"/>
        </w:rPr>
      </w:pPr>
      <w:r>
        <w:separator/>
      </w:r>
    </w:p>
  </w:footnote>
  <w:footnote w:type="continuationSeparator" w:id="0">
    <w:p w:rsidR="00BD5F2B" w:rsidRDefault="00BD5F2B">
      <w:pPr>
        <w:rPr>
          <w:sz w:val="12"/>
        </w:rPr>
      </w:pPr>
      <w:r>
        <w:continuationSeparator/>
      </w:r>
    </w:p>
  </w:footnote>
  <w:footnote w:id="1">
    <w:p w:rsidR="00BA5080" w:rsidRDefault="00F10323">
      <w:pPr>
        <w:pStyle w:val="a3"/>
      </w:pPr>
      <w:r>
        <w:rPr>
          <w:rStyle w:val="af0"/>
        </w:rPr>
        <w:footnoteRef/>
      </w:r>
      <w:r>
        <w:t xml:space="preserve"> Банк России. Раскрытие информации кредитными организациями. [Электронный ресурс] </w:t>
      </w:r>
      <w:r>
        <w:rPr>
          <w:lang w:val="en-US"/>
        </w:rPr>
        <w:t>URL</w:t>
      </w:r>
      <w:r>
        <w:t xml:space="preserve">: </w:t>
      </w:r>
      <w:hyperlink r:id="rId1">
        <w:r>
          <w:rPr>
            <w:lang w:val="en-US"/>
          </w:rPr>
          <w:t>http</w:t>
        </w:r>
        <w:r>
          <w:t>://</w:t>
        </w:r>
        <w:r>
          <w:rPr>
            <w:lang w:val="en-US"/>
          </w:rPr>
          <w:t>www</w:t>
        </w:r>
        <w:r>
          <w:t>.</w:t>
        </w:r>
        <w:r>
          <w:rPr>
            <w:lang w:val="en-US"/>
          </w:rPr>
          <w:t>cbr</w:t>
        </w:r>
        <w:r>
          <w:t>.</w:t>
        </w:r>
        <w:r>
          <w:rPr>
            <w:lang w:val="en-US"/>
          </w:rPr>
          <w:t>ru</w:t>
        </w:r>
        <w:r>
          <w:t>/</w:t>
        </w:r>
        <w:r>
          <w:rPr>
            <w:lang w:val="en-US"/>
          </w:rPr>
          <w:t>banking</w:t>
        </w:r>
        <w:r>
          <w:t>_</w:t>
        </w:r>
        <w:r>
          <w:rPr>
            <w:lang w:val="en-US"/>
          </w:rPr>
          <w:t>sector</w:t>
        </w:r>
        <w:r>
          <w:t>/</w:t>
        </w:r>
        <w:r>
          <w:rPr>
            <w:lang w:val="en-US"/>
          </w:rPr>
          <w:t>otchetnost</w:t>
        </w:r>
        <w:r>
          <w:t>-</w:t>
        </w:r>
        <w:r>
          <w:rPr>
            <w:lang w:val="en-US"/>
          </w:rPr>
          <w:t>kreditnykh</w:t>
        </w:r>
        <w:r>
          <w:t>-</w:t>
        </w:r>
        <w:r>
          <w:rPr>
            <w:lang w:val="en-US"/>
          </w:rPr>
          <w:t>organizaciy</w:t>
        </w:r>
        <w:r>
          <w:t>/</w:t>
        </w:r>
        <w:r>
          <w:rPr>
            <w:lang w:val="en-US"/>
          </w:rPr>
          <w:t>transparent</w:t>
        </w:r>
        <w:r>
          <w:t>/</w:t>
        </w:r>
      </w:hyperlink>
      <w:r>
        <w:t xml:space="preserve">. </w:t>
      </w:r>
    </w:p>
  </w:footnote>
  <w:footnote w:id="2">
    <w:p w:rsidR="00BA5080" w:rsidRDefault="00F10323">
      <w:pPr>
        <w:pStyle w:val="a3"/>
      </w:pPr>
      <w:r>
        <w:rPr>
          <w:rStyle w:val="af0"/>
        </w:rPr>
        <w:footnoteRef/>
      </w:r>
      <w:r>
        <w:t xml:space="preserve"> В методиках кредитных рейтинговых агентств этот раздел обычно именуется анализом фондирования.</w:t>
      </w:r>
    </w:p>
  </w:footnote>
  <w:footnote w:id="3">
    <w:p w:rsidR="00BA5080" w:rsidRDefault="00F10323">
      <w:pPr>
        <w:pStyle w:val="a3"/>
        <w:jc w:val="both"/>
        <w:rPr>
          <w:sz w:val="24"/>
          <w:szCs w:val="24"/>
        </w:rPr>
      </w:pPr>
      <w:r>
        <w:rPr>
          <w:rStyle w:val="af0"/>
        </w:rPr>
        <w:footnoteRef/>
      </w:r>
      <w:r>
        <w:rPr>
          <w:sz w:val="24"/>
          <w:szCs w:val="24"/>
        </w:rPr>
        <w:t xml:space="preserve"> Кредиты на приобретение помещения на определенных условиях (соотношение размера ссуды и стоимости залога, регулярная переоценка помещения и т.д.)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pStyle w:val="afb"/>
      <w:rPr>
        <w:rStyle w:val="FontStyle72"/>
        <w:b w:val="0"/>
        <w:bCs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pStyle w:val="afb"/>
      <w:rPr>
        <w:rStyle w:val="FontStyle72"/>
        <w:b w:val="0"/>
        <w:b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pStyle w:val="afb"/>
      <w:rPr>
        <w:rStyle w:val="FontStyle72"/>
        <w:b w:val="0"/>
        <w:bCs w:val="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pStyle w:val="afb"/>
      <w:rPr>
        <w:rStyle w:val="FontStyle72"/>
        <w:b w:val="0"/>
        <w:bCs w:val="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pStyle w:val="afb"/>
      <w:rPr>
        <w:rStyle w:val="FontStyle72"/>
        <w:b w:val="0"/>
        <w:bCs w:val="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5080" w:rsidRDefault="00BA5080">
    <w:pPr>
      <w:pStyle w:val="afb"/>
      <w:rPr>
        <w:rStyle w:val="FontStyle72"/>
        <w:b w:val="0"/>
        <w:b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631711"/>
    <w:multiLevelType w:val="multilevel"/>
    <w:tmpl w:val="242E7FB6"/>
    <w:lvl w:ilvl="0">
      <w:start w:val="1"/>
      <w:numFmt w:val="bullet"/>
      <w:lvlText w:val="−"/>
      <w:lvlJc w:val="left"/>
      <w:pPr>
        <w:tabs>
          <w:tab w:val="num" w:pos="0"/>
        </w:tabs>
        <w:ind w:left="839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5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7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9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1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43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5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7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99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D1F5404"/>
    <w:multiLevelType w:val="multilevel"/>
    <w:tmpl w:val="D236D6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2" w15:restartNumberingAfterBreak="0">
    <w:nsid w:val="30432981"/>
    <w:multiLevelType w:val="multilevel"/>
    <w:tmpl w:val="F74E08A0"/>
    <w:lvl w:ilvl="0">
      <w:start w:val="1"/>
      <w:numFmt w:val="bullet"/>
      <w:lvlText w:val=""/>
      <w:lvlJc w:val="left"/>
      <w:pPr>
        <w:tabs>
          <w:tab w:val="num" w:pos="0"/>
        </w:tabs>
        <w:ind w:left="1429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383B78D9"/>
    <w:multiLevelType w:val="multilevel"/>
    <w:tmpl w:val="D744CA62"/>
    <w:lvl w:ilvl="0">
      <w:start w:val="1"/>
      <w:numFmt w:val="decimal"/>
      <w:pStyle w:val="2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3D017EBA"/>
    <w:multiLevelType w:val="multilevel"/>
    <w:tmpl w:val="F948F0E6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4ECD56F3"/>
    <w:multiLevelType w:val="multilevel"/>
    <w:tmpl w:val="C03C34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6" w15:restartNumberingAfterBreak="0">
    <w:nsid w:val="6D5F28D8"/>
    <w:multiLevelType w:val="multilevel"/>
    <w:tmpl w:val="3A74EB8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7226682B"/>
    <w:multiLevelType w:val="multilevel"/>
    <w:tmpl w:val="0F44250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746F0D37"/>
    <w:multiLevelType w:val="multilevel"/>
    <w:tmpl w:val="75B04B5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right"/>
      <w:pPr>
        <w:tabs>
          <w:tab w:val="num" w:pos="0"/>
        </w:tabs>
        <w:ind w:left="2160" w:hanging="18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right"/>
      <w:pPr>
        <w:tabs>
          <w:tab w:val="num" w:pos="0"/>
        </w:tabs>
        <w:ind w:left="4320" w:hanging="18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right"/>
      <w:pPr>
        <w:tabs>
          <w:tab w:val="num" w:pos="0"/>
        </w:tabs>
        <w:ind w:left="6480" w:hanging="180"/>
      </w:pPr>
      <w:rPr>
        <w:rFonts w:ascii="Symbol" w:hAnsi="Symbol" w:cs="Symbol" w:hint="default"/>
      </w:rPr>
    </w:lvl>
  </w:abstractNum>
  <w:abstractNum w:abstractNumId="9" w15:restartNumberingAfterBreak="0">
    <w:nsid w:val="79BF57AE"/>
    <w:multiLevelType w:val="multilevel"/>
    <w:tmpl w:val="DFCE981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2"/>
  </w:num>
  <w:num w:numId="2">
    <w:abstractNumId w:val="0"/>
  </w:num>
  <w:num w:numId="3">
    <w:abstractNumId w:val="6"/>
  </w:num>
  <w:num w:numId="4">
    <w:abstractNumId w:val="8"/>
  </w:num>
  <w:num w:numId="5">
    <w:abstractNumId w:val="7"/>
  </w:num>
  <w:num w:numId="6">
    <w:abstractNumId w:val="4"/>
  </w:num>
  <w:num w:numId="7">
    <w:abstractNumId w:val="3"/>
  </w:num>
  <w:num w:numId="8">
    <w:abstractNumId w:val="5"/>
  </w:num>
  <w:num w:numId="9">
    <w:abstractNumId w:val="1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080"/>
    <w:rsid w:val="001041A7"/>
    <w:rsid w:val="00855F1C"/>
    <w:rsid w:val="00943071"/>
    <w:rsid w:val="00BA5080"/>
    <w:rsid w:val="00BD5F2B"/>
    <w:rsid w:val="00F10323"/>
    <w:rsid w:val="00FB3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9FC7B8"/>
  <w15:docId w15:val="{1DF74460-BDAA-451B-B6A0-CCABD80E6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2899"/>
    <w:pPr>
      <w:widowControl w:val="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uiPriority w:val="9"/>
    <w:qFormat/>
    <w:rsid w:val="00AA488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0">
    <w:name w:val="heading 2"/>
    <w:basedOn w:val="a"/>
    <w:next w:val="a"/>
    <w:link w:val="21"/>
    <w:uiPriority w:val="9"/>
    <w:unhideWhenUsed/>
    <w:qFormat/>
    <w:rsid w:val="00AA488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34E5E"/>
    <w:pPr>
      <w:keepNext/>
      <w:keepLines/>
      <w:widowControl/>
      <w:spacing w:before="4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1">
    <w:name w:val="Текст сноски Знак3"/>
    <w:basedOn w:val="a0"/>
    <w:link w:val="a3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qFormat/>
    <w:rsid w:val="00734E5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FontStyle53">
    <w:name w:val="Font Style53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4">
    <w:name w:val="Font Style54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7">
    <w:name w:val="Font Style57"/>
    <w:basedOn w:val="a0"/>
    <w:uiPriority w:val="99"/>
    <w:qFormat/>
    <w:rsid w:val="0020289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63">
    <w:name w:val="Font Style63"/>
    <w:basedOn w:val="a0"/>
    <w:uiPriority w:val="99"/>
    <w:qFormat/>
    <w:rsid w:val="00202899"/>
    <w:rPr>
      <w:rFonts w:ascii="Times New Roman" w:hAnsi="Times New Roman" w:cs="Times New Roman"/>
      <w:sz w:val="30"/>
      <w:szCs w:val="30"/>
    </w:rPr>
  </w:style>
  <w:style w:type="character" w:customStyle="1" w:styleId="FontStyle65">
    <w:name w:val="Font Style65"/>
    <w:basedOn w:val="a0"/>
    <w:uiPriority w:val="99"/>
    <w:qFormat/>
    <w:rsid w:val="002028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7">
    <w:name w:val="Font Style67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FontStyle71">
    <w:name w:val="Font Style71"/>
    <w:basedOn w:val="a0"/>
    <w:uiPriority w:val="99"/>
    <w:qFormat/>
    <w:rsid w:val="00202899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2">
    <w:name w:val="Font Style72"/>
    <w:basedOn w:val="a0"/>
    <w:uiPriority w:val="99"/>
    <w:qFormat/>
    <w:rsid w:val="002028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3">
    <w:name w:val="Font Style73"/>
    <w:basedOn w:val="a0"/>
    <w:qFormat/>
    <w:rsid w:val="00202899"/>
    <w:rPr>
      <w:rFonts w:ascii="Times New Roman" w:hAnsi="Times New Roman" w:cs="Times New Roman"/>
      <w:sz w:val="26"/>
      <w:szCs w:val="26"/>
    </w:rPr>
  </w:style>
  <w:style w:type="character" w:customStyle="1" w:styleId="FontStyle74">
    <w:name w:val="Font Style74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a4">
    <w:name w:val="Верх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6">
    <w:name w:val="Заголовок Знак"/>
    <w:basedOn w:val="a0"/>
    <w:qFormat/>
    <w:rsid w:val="00B96B00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FontStyle58">
    <w:name w:val="Font Style58"/>
    <w:basedOn w:val="a0"/>
    <w:uiPriority w:val="99"/>
    <w:qFormat/>
    <w:rsid w:val="00A03464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60">
    <w:name w:val="Font Style60"/>
    <w:basedOn w:val="a0"/>
    <w:uiPriority w:val="99"/>
    <w:qFormat/>
    <w:rsid w:val="00375F1B"/>
    <w:rPr>
      <w:rFonts w:ascii="Times New Roman" w:hAnsi="Times New Roman" w:cs="Times New Roman"/>
      <w:sz w:val="20"/>
      <w:szCs w:val="20"/>
    </w:rPr>
  </w:style>
  <w:style w:type="character" w:customStyle="1" w:styleId="-">
    <w:name w:val="Интернет-ссылка"/>
    <w:basedOn w:val="a0"/>
    <w:uiPriority w:val="99"/>
    <w:unhideWhenUsed/>
    <w:rsid w:val="00447785"/>
    <w:rPr>
      <w:color w:val="0563C1" w:themeColor="hyperlink"/>
      <w:u w:val="single"/>
    </w:rPr>
  </w:style>
  <w:style w:type="character" w:customStyle="1" w:styleId="a7">
    <w:name w:val="Текст выноски Знак"/>
    <w:basedOn w:val="a0"/>
    <w:uiPriority w:val="99"/>
    <w:semiHidden/>
    <w:qFormat/>
    <w:rsid w:val="00106B1E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22">
    <w:name w:val="Текст сноски Знак2"/>
    <w:qFormat/>
    <w:locked/>
    <w:rsid w:val="00BE19F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сноски Знак"/>
    <w:basedOn w:val="a0"/>
    <w:uiPriority w:val="99"/>
    <w:qFormat/>
    <w:rsid w:val="00BE19FB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9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qFormat/>
    <w:rsid w:val="00447785"/>
    <w:rPr>
      <w:vertAlign w:val="superscript"/>
    </w:rPr>
  </w:style>
  <w:style w:type="character" w:styleId="aa">
    <w:name w:val="Strong"/>
    <w:uiPriority w:val="22"/>
    <w:qFormat/>
    <w:rsid w:val="00547B7F"/>
    <w:rPr>
      <w:rFonts w:ascii="Times New Roman" w:hAnsi="Times New Roman" w:cs="Times New Roman"/>
      <w:b/>
      <w:bCs/>
      <w:sz w:val="24"/>
      <w:u w:val="single"/>
    </w:rPr>
  </w:style>
  <w:style w:type="character" w:customStyle="1" w:styleId="ab">
    <w:name w:val="Текст примечания Знак"/>
    <w:basedOn w:val="a0"/>
    <w:uiPriority w:val="99"/>
    <w:semiHidden/>
    <w:qFormat/>
    <w:rsid w:val="00734E5E"/>
    <w:rPr>
      <w:sz w:val="20"/>
      <w:szCs w:val="20"/>
    </w:rPr>
  </w:style>
  <w:style w:type="character" w:customStyle="1" w:styleId="ac">
    <w:name w:val="Тема примечания Знак"/>
    <w:basedOn w:val="ab"/>
    <w:uiPriority w:val="99"/>
    <w:semiHidden/>
    <w:qFormat/>
    <w:rsid w:val="00734E5E"/>
    <w:rPr>
      <w:b/>
      <w:bCs/>
      <w:sz w:val="20"/>
      <w:szCs w:val="20"/>
    </w:rPr>
  </w:style>
  <w:style w:type="character" w:customStyle="1" w:styleId="ad">
    <w:name w:val="Посещённая гиперссылка"/>
    <w:basedOn w:val="a0"/>
    <w:uiPriority w:val="99"/>
    <w:semiHidden/>
    <w:unhideWhenUsed/>
    <w:rsid w:val="00447785"/>
    <w:rPr>
      <w:color w:val="954F72" w:themeColor="followedHyperlink"/>
      <w:u w:val="single"/>
    </w:rPr>
  </w:style>
  <w:style w:type="character" w:styleId="ae">
    <w:name w:val="annotation reference"/>
    <w:basedOn w:val="a0"/>
    <w:uiPriority w:val="99"/>
    <w:semiHidden/>
    <w:unhideWhenUsed/>
    <w:qFormat/>
    <w:rsid w:val="0055592D"/>
    <w:rPr>
      <w:sz w:val="16"/>
      <w:szCs w:val="16"/>
    </w:rPr>
  </w:style>
  <w:style w:type="character" w:customStyle="1" w:styleId="FontStyle13">
    <w:name w:val="Font Style13"/>
    <w:qFormat/>
    <w:rsid w:val="00D97EC9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">
    <w:name w:val="Font Style15"/>
    <w:uiPriority w:val="99"/>
    <w:qFormat/>
    <w:rsid w:val="00D97EC9"/>
    <w:rPr>
      <w:rFonts w:ascii="Times New Roman" w:hAnsi="Times New Roman" w:cs="Times New Roman"/>
      <w:b/>
      <w:bCs/>
      <w:color w:val="000000"/>
      <w:sz w:val="28"/>
      <w:szCs w:val="28"/>
    </w:rPr>
  </w:style>
  <w:style w:type="character" w:customStyle="1" w:styleId="10">
    <w:name w:val="Текст сноски Знак1"/>
    <w:basedOn w:val="a0"/>
    <w:qFormat/>
    <w:rsid w:val="00D97EC9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11">
    <w:name w:val="Неразрешенное упоминание1"/>
    <w:basedOn w:val="a0"/>
    <w:uiPriority w:val="99"/>
    <w:semiHidden/>
    <w:unhideWhenUsed/>
    <w:qFormat/>
    <w:rsid w:val="000F423D"/>
    <w:rPr>
      <w:color w:val="605E5C"/>
      <w:shd w:val="clear" w:color="auto" w:fill="E1DFDD"/>
    </w:rPr>
  </w:style>
  <w:style w:type="character" w:customStyle="1" w:styleId="af">
    <w:name w:val="Ссылка указателя"/>
    <w:qFormat/>
  </w:style>
  <w:style w:type="character" w:customStyle="1" w:styleId="af0">
    <w:name w:val="Символ сноски"/>
    <w:qFormat/>
  </w:style>
  <w:style w:type="character" w:customStyle="1" w:styleId="af1">
    <w:name w:val="Привязка концевой сноски"/>
    <w:rPr>
      <w:vertAlign w:val="superscript"/>
    </w:rPr>
  </w:style>
  <w:style w:type="character" w:customStyle="1" w:styleId="af2">
    <w:name w:val="Символ концевой сноски"/>
    <w:qFormat/>
  </w:style>
  <w:style w:type="character" w:customStyle="1" w:styleId="23">
    <w:name w:val="Основной текст (2)"/>
    <w:basedOn w:val="a0"/>
    <w:qFormat/>
    <w:rsid w:val="0044778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af3">
    <w:name w:val="Символ нумерации"/>
    <w:qFormat/>
    <w:rPr>
      <w:rFonts w:ascii="Times New Roman" w:hAnsi="Times New Roman"/>
      <w:sz w:val="28"/>
      <w:szCs w:val="28"/>
    </w:rPr>
  </w:style>
  <w:style w:type="character" w:customStyle="1" w:styleId="af4">
    <w:name w:val="Маркеры"/>
    <w:qFormat/>
    <w:rPr>
      <w:rFonts w:ascii="OpenSymbol" w:eastAsia="OpenSymbol" w:hAnsi="OpenSymbol" w:cs="OpenSymbol"/>
    </w:rPr>
  </w:style>
  <w:style w:type="paragraph" w:styleId="af5">
    <w:name w:val="Title"/>
    <w:basedOn w:val="a"/>
    <w:next w:val="af6"/>
    <w:qFormat/>
    <w:rsid w:val="00B96B00"/>
    <w:pPr>
      <w:widowControl/>
      <w:jc w:val="center"/>
    </w:pPr>
    <w:rPr>
      <w:rFonts w:eastAsia="Times New Roman"/>
      <w:b/>
      <w:sz w:val="28"/>
      <w:szCs w:val="20"/>
    </w:rPr>
  </w:style>
  <w:style w:type="paragraph" w:styleId="af6">
    <w:name w:val="Body Text"/>
    <w:basedOn w:val="a"/>
    <w:pPr>
      <w:spacing w:after="140" w:line="276" w:lineRule="auto"/>
    </w:pPr>
  </w:style>
  <w:style w:type="paragraph" w:styleId="af7">
    <w:name w:val="List"/>
    <w:basedOn w:val="a"/>
    <w:uiPriority w:val="99"/>
    <w:semiHidden/>
    <w:unhideWhenUsed/>
    <w:rsid w:val="001668FA"/>
    <w:pPr>
      <w:ind w:left="283" w:hanging="283"/>
      <w:contextualSpacing/>
    </w:pPr>
  </w:style>
  <w:style w:type="paragraph" w:styleId="af8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9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customStyle="1" w:styleId="Style1">
    <w:name w:val="Style1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5">
    <w:name w:val="Style5"/>
    <w:basedOn w:val="a"/>
    <w:uiPriority w:val="99"/>
    <w:qFormat/>
    <w:rsid w:val="00202899"/>
  </w:style>
  <w:style w:type="paragraph" w:customStyle="1" w:styleId="Style6">
    <w:name w:val="Style6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7">
    <w:name w:val="Style7"/>
    <w:basedOn w:val="a"/>
    <w:uiPriority w:val="99"/>
    <w:qFormat/>
    <w:rsid w:val="00202899"/>
    <w:pPr>
      <w:spacing w:line="370" w:lineRule="exact"/>
      <w:jc w:val="center"/>
    </w:pPr>
  </w:style>
  <w:style w:type="paragraph" w:customStyle="1" w:styleId="Style8">
    <w:name w:val="Style8"/>
    <w:basedOn w:val="a"/>
    <w:uiPriority w:val="99"/>
    <w:qFormat/>
    <w:rsid w:val="00202899"/>
    <w:pPr>
      <w:jc w:val="both"/>
    </w:pPr>
  </w:style>
  <w:style w:type="paragraph" w:customStyle="1" w:styleId="Style11">
    <w:name w:val="Style11"/>
    <w:basedOn w:val="a"/>
    <w:uiPriority w:val="99"/>
    <w:qFormat/>
    <w:rsid w:val="00202899"/>
    <w:pPr>
      <w:spacing w:line="322" w:lineRule="exact"/>
      <w:jc w:val="right"/>
    </w:pPr>
  </w:style>
  <w:style w:type="paragraph" w:customStyle="1" w:styleId="Style16">
    <w:name w:val="Style16"/>
    <w:basedOn w:val="a"/>
    <w:uiPriority w:val="99"/>
    <w:qFormat/>
    <w:rsid w:val="00202899"/>
    <w:pPr>
      <w:jc w:val="both"/>
    </w:pPr>
  </w:style>
  <w:style w:type="paragraph" w:customStyle="1" w:styleId="Style17">
    <w:name w:val="Style17"/>
    <w:basedOn w:val="a"/>
    <w:uiPriority w:val="99"/>
    <w:qFormat/>
    <w:rsid w:val="00202899"/>
    <w:pPr>
      <w:spacing w:line="322" w:lineRule="exact"/>
      <w:ind w:hanging="878"/>
    </w:pPr>
  </w:style>
  <w:style w:type="paragraph" w:customStyle="1" w:styleId="Style18">
    <w:name w:val="Style18"/>
    <w:basedOn w:val="a"/>
    <w:uiPriority w:val="99"/>
    <w:qFormat/>
    <w:rsid w:val="00202899"/>
    <w:pPr>
      <w:spacing w:line="365" w:lineRule="exact"/>
      <w:ind w:firstLine="1320"/>
    </w:pPr>
  </w:style>
  <w:style w:type="paragraph" w:customStyle="1" w:styleId="Style19">
    <w:name w:val="Style19"/>
    <w:basedOn w:val="a"/>
    <w:uiPriority w:val="99"/>
    <w:qFormat/>
    <w:rsid w:val="00202899"/>
    <w:pPr>
      <w:spacing w:line="274" w:lineRule="exact"/>
      <w:ind w:hanging="1978"/>
    </w:pPr>
  </w:style>
  <w:style w:type="paragraph" w:customStyle="1" w:styleId="Style20">
    <w:name w:val="Style20"/>
    <w:basedOn w:val="a"/>
    <w:uiPriority w:val="99"/>
    <w:qFormat/>
    <w:rsid w:val="00202899"/>
    <w:pPr>
      <w:spacing w:line="278" w:lineRule="exact"/>
      <w:ind w:hanging="1046"/>
    </w:pPr>
  </w:style>
  <w:style w:type="paragraph" w:customStyle="1" w:styleId="Style22">
    <w:name w:val="Style22"/>
    <w:basedOn w:val="a"/>
    <w:uiPriority w:val="99"/>
    <w:qFormat/>
    <w:rsid w:val="00202899"/>
  </w:style>
  <w:style w:type="paragraph" w:customStyle="1" w:styleId="Style23">
    <w:name w:val="Style23"/>
    <w:basedOn w:val="a"/>
    <w:uiPriority w:val="99"/>
    <w:qFormat/>
    <w:rsid w:val="00202899"/>
  </w:style>
  <w:style w:type="paragraph" w:customStyle="1" w:styleId="Style25">
    <w:name w:val="Style25"/>
    <w:basedOn w:val="a"/>
    <w:uiPriority w:val="99"/>
    <w:qFormat/>
    <w:rsid w:val="00202899"/>
    <w:pPr>
      <w:spacing w:line="276" w:lineRule="exact"/>
    </w:pPr>
  </w:style>
  <w:style w:type="paragraph" w:customStyle="1" w:styleId="Style30">
    <w:name w:val="Style30"/>
    <w:basedOn w:val="a"/>
    <w:uiPriority w:val="99"/>
    <w:qFormat/>
    <w:rsid w:val="00202899"/>
  </w:style>
  <w:style w:type="paragraph" w:customStyle="1" w:styleId="Style31">
    <w:name w:val="Style31"/>
    <w:basedOn w:val="a"/>
    <w:uiPriority w:val="99"/>
    <w:qFormat/>
    <w:rsid w:val="00202899"/>
    <w:pPr>
      <w:spacing w:line="278" w:lineRule="exact"/>
      <w:ind w:hanging="134"/>
    </w:pPr>
  </w:style>
  <w:style w:type="paragraph" w:customStyle="1" w:styleId="Style35">
    <w:name w:val="Style35"/>
    <w:basedOn w:val="a"/>
    <w:uiPriority w:val="99"/>
    <w:qFormat/>
    <w:rsid w:val="00202899"/>
    <w:pPr>
      <w:spacing w:line="298" w:lineRule="exact"/>
      <w:jc w:val="right"/>
    </w:pPr>
  </w:style>
  <w:style w:type="paragraph" w:customStyle="1" w:styleId="Style36">
    <w:name w:val="Style36"/>
    <w:basedOn w:val="a"/>
    <w:uiPriority w:val="99"/>
    <w:qFormat/>
    <w:rsid w:val="00202899"/>
  </w:style>
  <w:style w:type="paragraph" w:customStyle="1" w:styleId="afa">
    <w:name w:val="Верхний и нижний колонтитулы"/>
    <w:basedOn w:val="a"/>
    <w:qFormat/>
  </w:style>
  <w:style w:type="paragraph" w:styleId="afb">
    <w:name w:val="head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c">
    <w:name w:val="foot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d">
    <w:name w:val="List Paragraph"/>
    <w:basedOn w:val="a"/>
    <w:qFormat/>
    <w:rsid w:val="00B96B00"/>
    <w:pPr>
      <w:ind w:left="708"/>
    </w:pPr>
    <w:rPr>
      <w:rFonts w:eastAsia="Times New Roman"/>
      <w:sz w:val="20"/>
      <w:szCs w:val="20"/>
    </w:rPr>
  </w:style>
  <w:style w:type="paragraph" w:customStyle="1" w:styleId="Style13">
    <w:name w:val="Style13"/>
    <w:basedOn w:val="a"/>
    <w:uiPriority w:val="99"/>
    <w:qFormat/>
    <w:rsid w:val="00A03464"/>
    <w:pPr>
      <w:spacing w:line="499" w:lineRule="exact"/>
      <w:ind w:firstLine="2664"/>
    </w:pPr>
  </w:style>
  <w:style w:type="paragraph" w:customStyle="1" w:styleId="Style39">
    <w:name w:val="Style39"/>
    <w:basedOn w:val="a"/>
    <w:uiPriority w:val="99"/>
    <w:qFormat/>
    <w:rsid w:val="00A03464"/>
    <w:pPr>
      <w:spacing w:line="485" w:lineRule="exact"/>
      <w:jc w:val="both"/>
    </w:pPr>
  </w:style>
  <w:style w:type="paragraph" w:customStyle="1" w:styleId="Style42">
    <w:name w:val="Style42"/>
    <w:basedOn w:val="a"/>
    <w:uiPriority w:val="99"/>
    <w:qFormat/>
    <w:rsid w:val="00A03464"/>
    <w:pPr>
      <w:spacing w:line="487" w:lineRule="exact"/>
      <w:ind w:firstLine="710"/>
      <w:jc w:val="both"/>
    </w:pPr>
  </w:style>
  <w:style w:type="paragraph" w:customStyle="1" w:styleId="Style46">
    <w:name w:val="Style46"/>
    <w:basedOn w:val="a"/>
    <w:uiPriority w:val="99"/>
    <w:qFormat/>
    <w:rsid w:val="00A03464"/>
    <w:pPr>
      <w:spacing w:line="482" w:lineRule="exact"/>
      <w:ind w:firstLine="629"/>
      <w:jc w:val="both"/>
    </w:pPr>
  </w:style>
  <w:style w:type="paragraph" w:customStyle="1" w:styleId="Style26">
    <w:name w:val="Style26"/>
    <w:basedOn w:val="a"/>
    <w:uiPriority w:val="99"/>
    <w:qFormat/>
    <w:rsid w:val="00336AF2"/>
    <w:pPr>
      <w:spacing w:line="482" w:lineRule="exact"/>
      <w:ind w:hanging="346"/>
    </w:pPr>
    <w:rPr>
      <w:rFonts w:eastAsia="Times New Roman"/>
    </w:rPr>
  </w:style>
  <w:style w:type="paragraph" w:customStyle="1" w:styleId="Style41">
    <w:name w:val="Style41"/>
    <w:basedOn w:val="a"/>
    <w:qFormat/>
    <w:rsid w:val="00336AF2"/>
    <w:pPr>
      <w:spacing w:line="394" w:lineRule="exact"/>
      <w:ind w:hanging="355"/>
    </w:pPr>
    <w:rPr>
      <w:rFonts w:eastAsia="Times New Roman"/>
    </w:rPr>
  </w:style>
  <w:style w:type="paragraph" w:customStyle="1" w:styleId="Style48">
    <w:name w:val="Style48"/>
    <w:basedOn w:val="a"/>
    <w:qFormat/>
    <w:rsid w:val="00336AF2"/>
    <w:pPr>
      <w:spacing w:line="480" w:lineRule="exact"/>
      <w:ind w:hanging="355"/>
    </w:pPr>
    <w:rPr>
      <w:rFonts w:eastAsia="Times New Roman"/>
    </w:rPr>
  </w:style>
  <w:style w:type="paragraph" w:styleId="afe">
    <w:name w:val="TOC Heading"/>
    <w:basedOn w:val="1"/>
    <w:next w:val="a"/>
    <w:uiPriority w:val="39"/>
    <w:unhideWhenUsed/>
    <w:qFormat/>
    <w:rsid w:val="00086F3B"/>
    <w:pPr>
      <w:widowControl/>
      <w:spacing w:line="259" w:lineRule="auto"/>
    </w:pPr>
  </w:style>
  <w:style w:type="paragraph" w:styleId="12">
    <w:name w:val="toc 1"/>
    <w:basedOn w:val="a"/>
    <w:next w:val="a"/>
    <w:autoRedefine/>
    <w:uiPriority w:val="39"/>
    <w:unhideWhenUsed/>
    <w:rsid w:val="00F52192"/>
    <w:pPr>
      <w:tabs>
        <w:tab w:val="right" w:leader="dot" w:pos="9345"/>
      </w:tabs>
      <w:spacing w:after="100"/>
    </w:pPr>
    <w:rPr>
      <w:rFonts w:eastAsia="Calibri"/>
      <w:bCs/>
      <w:color w:val="FF0000"/>
      <w:kern w:val="2"/>
    </w:rPr>
  </w:style>
  <w:style w:type="paragraph" w:styleId="24">
    <w:name w:val="toc 2"/>
    <w:basedOn w:val="a"/>
    <w:next w:val="a"/>
    <w:autoRedefine/>
    <w:uiPriority w:val="39"/>
    <w:unhideWhenUsed/>
    <w:rsid w:val="00086F3B"/>
    <w:pPr>
      <w:spacing w:after="100"/>
      <w:ind w:left="240"/>
    </w:pPr>
    <w:rPr>
      <w:sz w:val="28"/>
      <w:szCs w:val="28"/>
    </w:rPr>
  </w:style>
  <w:style w:type="paragraph" w:styleId="aff">
    <w:name w:val="Balloon Text"/>
    <w:basedOn w:val="a"/>
    <w:uiPriority w:val="99"/>
    <w:semiHidden/>
    <w:unhideWhenUsed/>
    <w:qFormat/>
    <w:rsid w:val="00106B1E"/>
    <w:rPr>
      <w:rFonts w:ascii="Segoe UI" w:hAnsi="Segoe UI" w:cs="Segoe UI"/>
      <w:sz w:val="18"/>
      <w:szCs w:val="18"/>
    </w:rPr>
  </w:style>
  <w:style w:type="paragraph" w:styleId="a3">
    <w:name w:val="footnote text"/>
    <w:basedOn w:val="a"/>
    <w:link w:val="31"/>
    <w:uiPriority w:val="99"/>
    <w:rsid w:val="00BE19FB"/>
    <w:rPr>
      <w:rFonts w:eastAsia="Times New Roman"/>
      <w:sz w:val="20"/>
      <w:szCs w:val="20"/>
    </w:rPr>
  </w:style>
  <w:style w:type="paragraph" w:styleId="aff0">
    <w:name w:val="Normal (Web)"/>
    <w:basedOn w:val="a"/>
    <w:uiPriority w:val="99"/>
    <w:semiHidden/>
    <w:unhideWhenUsed/>
    <w:qFormat/>
    <w:rsid w:val="00734E5E"/>
    <w:pPr>
      <w:widowControl/>
      <w:spacing w:beforeAutospacing="1" w:afterAutospacing="1"/>
    </w:pPr>
    <w:rPr>
      <w:rFonts w:eastAsia="Times New Roman"/>
    </w:rPr>
  </w:style>
  <w:style w:type="paragraph" w:styleId="32">
    <w:name w:val="toc 3"/>
    <w:basedOn w:val="a"/>
    <w:next w:val="a"/>
    <w:autoRedefine/>
    <w:uiPriority w:val="39"/>
    <w:unhideWhenUsed/>
    <w:rsid w:val="00734E5E"/>
    <w:pPr>
      <w:widowControl/>
      <w:spacing w:after="100" w:line="276" w:lineRule="auto"/>
      <w:ind w:left="4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f1">
    <w:name w:val="annotation text"/>
    <w:basedOn w:val="a"/>
    <w:uiPriority w:val="99"/>
    <w:semiHidden/>
    <w:unhideWhenUsed/>
    <w:qFormat/>
    <w:rsid w:val="00734E5E"/>
    <w:pPr>
      <w:widowControl/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aff2">
    <w:name w:val="annotation subject"/>
    <w:basedOn w:val="aff1"/>
    <w:next w:val="aff1"/>
    <w:uiPriority w:val="99"/>
    <w:semiHidden/>
    <w:unhideWhenUsed/>
    <w:qFormat/>
    <w:rsid w:val="00734E5E"/>
    <w:rPr>
      <w:b/>
      <w:bCs/>
    </w:rPr>
  </w:style>
  <w:style w:type="paragraph" w:styleId="aff3">
    <w:name w:val="No Spacing"/>
    <w:uiPriority w:val="1"/>
    <w:qFormat/>
    <w:rsid w:val="00D97EC9"/>
    <w:pPr>
      <w:widowContro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">
    <w:name w:val="Начало нумерованного списка 2"/>
    <w:basedOn w:val="af7"/>
    <w:next w:val="2"/>
    <w:qFormat/>
    <w:rsid w:val="001668FA"/>
    <w:pPr>
      <w:spacing w:after="140"/>
      <w:ind w:left="0" w:firstLine="0"/>
      <w:jc w:val="both"/>
    </w:pPr>
    <w:rPr>
      <w:rFonts w:ascii="PT Astra Serif" w:eastAsia="Source Han Sans CN Regular" w:hAnsi="PT Astra Serif" w:cs="Lohit Devanagari"/>
      <w:kern w:val="2"/>
      <w:sz w:val="28"/>
      <w:lang w:bidi="ru-RU"/>
    </w:rPr>
  </w:style>
  <w:style w:type="paragraph" w:styleId="2">
    <w:name w:val="List Number 2"/>
    <w:basedOn w:val="a"/>
    <w:uiPriority w:val="99"/>
    <w:semiHidden/>
    <w:unhideWhenUsed/>
    <w:qFormat/>
    <w:rsid w:val="001668FA"/>
    <w:pPr>
      <w:numPr>
        <w:numId w:val="7"/>
      </w:numPr>
      <w:contextualSpacing/>
    </w:pPr>
  </w:style>
  <w:style w:type="paragraph" w:styleId="4">
    <w:name w:val="toc 4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660"/>
    </w:pPr>
    <w:rPr>
      <w:rFonts w:asciiTheme="minorHAnsi" w:hAnsiTheme="minorHAnsi" w:cstheme="minorBid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880"/>
    </w:pPr>
    <w:rPr>
      <w:rFonts w:asciiTheme="minorHAnsi" w:hAnsiTheme="minorHAnsi" w:cstheme="minorBid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100"/>
    </w:pPr>
    <w:rPr>
      <w:rFonts w:asciiTheme="minorHAnsi" w:hAnsiTheme="minorHAnsi" w:cstheme="minorBid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320"/>
    </w:pPr>
    <w:rPr>
      <w:rFonts w:asciiTheme="minorHAnsi" w:hAnsiTheme="minorHAnsi" w:cstheme="minorBid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540"/>
    </w:pPr>
    <w:rPr>
      <w:rFonts w:asciiTheme="minorHAnsi" w:hAnsiTheme="minorHAnsi" w:cstheme="minorBid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760"/>
    </w:pPr>
    <w:rPr>
      <w:rFonts w:asciiTheme="minorHAnsi" w:hAnsiTheme="minorHAnsi" w:cstheme="minorBidi"/>
      <w:sz w:val="22"/>
      <w:szCs w:val="22"/>
    </w:rPr>
  </w:style>
  <w:style w:type="paragraph" w:customStyle="1" w:styleId="aff4">
    <w:name w:val="Содержимое таблицы"/>
    <w:basedOn w:val="a"/>
    <w:qFormat/>
    <w:pPr>
      <w:suppressLineNumbers/>
    </w:pPr>
  </w:style>
  <w:style w:type="paragraph" w:customStyle="1" w:styleId="aff5">
    <w:name w:val="Заголовок таблицы"/>
    <w:basedOn w:val="aff4"/>
    <w:qFormat/>
    <w:pPr>
      <w:jc w:val="center"/>
    </w:pPr>
    <w:rPr>
      <w:b/>
      <w:bCs/>
    </w:rPr>
  </w:style>
  <w:style w:type="table" w:styleId="aff6">
    <w:name w:val="Table Grid"/>
    <w:basedOn w:val="a1"/>
    <w:uiPriority w:val="39"/>
    <w:rsid w:val="00E461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"/>
    <w:basedOn w:val="a1"/>
    <w:uiPriority w:val="39"/>
    <w:rsid w:val="0069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wmf"/><Relationship Id="rId26" Type="http://schemas.openxmlformats.org/officeDocument/2006/relationships/footer" Target="footer2.xml"/><Relationship Id="rId39" Type="http://schemas.openxmlformats.org/officeDocument/2006/relationships/hyperlink" Target="https://analizbankov.ru/bank.php" TargetMode="External"/><Relationship Id="rId21" Type="http://schemas.openxmlformats.org/officeDocument/2006/relationships/image" Target="media/image11.png"/><Relationship Id="rId34" Type="http://schemas.openxmlformats.org/officeDocument/2006/relationships/hyperlink" Target="https://book.ru/book/940280" TargetMode="External"/><Relationship Id="rId42" Type="http://schemas.openxmlformats.org/officeDocument/2006/relationships/hyperlink" Target="https://www.microsoft.com/ru-RU/download/details.aspx?id=58494" TargetMode="External"/><Relationship Id="rId47" Type="http://schemas.openxmlformats.org/officeDocument/2006/relationships/hyperlink" Target="http://www.znanium.com/" TargetMode="External"/><Relationship Id="rId50" Type="http://schemas.openxmlformats.org/officeDocument/2006/relationships/hyperlink" Target="https://cbonds.ru/" TargetMode="External"/><Relationship Id="rId55" Type="http://schemas.openxmlformats.org/officeDocument/2006/relationships/footer" Target="foot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eader" Target="header4.xml"/><Relationship Id="rId11" Type="http://schemas.openxmlformats.org/officeDocument/2006/relationships/image" Target="media/image2.png"/><Relationship Id="rId24" Type="http://schemas.openxmlformats.org/officeDocument/2006/relationships/image" Target="media/image14.wmf"/><Relationship Id="rId32" Type="http://schemas.openxmlformats.org/officeDocument/2006/relationships/footer" Target="footer5.xml"/><Relationship Id="rId37" Type="http://schemas.openxmlformats.org/officeDocument/2006/relationships/hyperlink" Target="https://e-disclosure.ru/?attempt=1" TargetMode="External"/><Relationship Id="rId40" Type="http://schemas.openxmlformats.org/officeDocument/2006/relationships/hyperlink" Target="https://analizbankov.ru/bank.php" TargetMode="External"/><Relationship Id="rId45" Type="http://schemas.openxmlformats.org/officeDocument/2006/relationships/hyperlink" Target="https://cloud.yandex.ru/docs/datalens/" TargetMode="External"/><Relationship Id="rId53" Type="http://schemas.openxmlformats.org/officeDocument/2006/relationships/hyperlink" Target="https://kad.arbitr.ru/" TargetMode="External"/><Relationship Id="rId5" Type="http://schemas.openxmlformats.org/officeDocument/2006/relationships/webSettings" Target="webSettings.xml"/><Relationship Id="rId19" Type="http://schemas.openxmlformats.org/officeDocument/2006/relationships/image" Target="media/image9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2.wmf"/><Relationship Id="rId27" Type="http://schemas.openxmlformats.org/officeDocument/2006/relationships/header" Target="header3.xml"/><Relationship Id="rId30" Type="http://schemas.openxmlformats.org/officeDocument/2006/relationships/footer" Target="footer4.xml"/><Relationship Id="rId35" Type="http://schemas.openxmlformats.org/officeDocument/2006/relationships/hyperlink" Target="http://www.cbr.ru/banking_sector/otchetnost-kreditnykh-organizaciy/transparent/" TargetMode="External"/><Relationship Id="rId43" Type="http://schemas.openxmlformats.org/officeDocument/2006/relationships/hyperlink" Target="https://ru.yougile.com/" TargetMode="External"/><Relationship Id="rId48" Type="http://schemas.openxmlformats.org/officeDocument/2006/relationships/hyperlink" Target="https://www.elibrary.ru/" TargetMode="External"/><Relationship Id="rId56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hyperlink" Target="http://www.cbr.ru/banking_sector/otchetnost-kreditnykh-organizaciy/transparent/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://www.e-disclosure.ru/portal/company.aspx?id=202" TargetMode="External"/><Relationship Id="rId25" Type="http://schemas.openxmlformats.org/officeDocument/2006/relationships/header" Target="header2.xml"/><Relationship Id="rId33" Type="http://schemas.openxmlformats.org/officeDocument/2006/relationships/hyperlink" Target="https://book.ru/book/935994" TargetMode="External"/><Relationship Id="rId38" Type="http://schemas.openxmlformats.org/officeDocument/2006/relationships/hyperlink" Target="https://kad.arbitr.ru/" TargetMode="External"/><Relationship Id="rId46" Type="http://schemas.openxmlformats.org/officeDocument/2006/relationships/hyperlink" Target="https://cloud.yandex.ru/docs/datalens/" TargetMode="External"/><Relationship Id="rId20" Type="http://schemas.openxmlformats.org/officeDocument/2006/relationships/image" Target="media/image10.png"/><Relationship Id="rId41" Type="http://schemas.openxmlformats.org/officeDocument/2006/relationships/hyperlink" Target="https://www.microsoft.com/ru-RU/download/details.aspx?id=58494" TargetMode="External"/><Relationship Id="rId54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3.wmf"/><Relationship Id="rId28" Type="http://schemas.openxmlformats.org/officeDocument/2006/relationships/footer" Target="footer3.xml"/><Relationship Id="rId36" Type="http://schemas.openxmlformats.org/officeDocument/2006/relationships/hyperlink" Target="http://www.cbr.ru/banking_sector/otchetnost-kreditnykh-organizaciy/transparent/" TargetMode="External"/><Relationship Id="rId49" Type="http://schemas.openxmlformats.org/officeDocument/2006/relationships/hyperlink" Target="https://grebennikon.ru/" TargetMode="External"/><Relationship Id="rId57" Type="http://schemas.openxmlformats.org/officeDocument/2006/relationships/theme" Target="theme/theme1.xml"/><Relationship Id="rId10" Type="http://schemas.openxmlformats.org/officeDocument/2006/relationships/image" Target="media/image1.png"/><Relationship Id="rId31" Type="http://schemas.openxmlformats.org/officeDocument/2006/relationships/header" Target="header5.xml"/><Relationship Id="rId44" Type="http://schemas.openxmlformats.org/officeDocument/2006/relationships/hyperlink" Target="https://ru.yougile.com/" TargetMode="External"/><Relationship Id="rId52" Type="http://schemas.openxmlformats.org/officeDocument/2006/relationships/hyperlink" Target="https://analizbankov.ru/bank.php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br.ru/banking_sector/otchetnost-kreditnykh-organizaciy/transparen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B16BFB-DD47-44B3-9552-C566749F4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11593</Words>
  <Characters>66086</Characters>
  <Application>Microsoft Office Word</Application>
  <DocSecurity>0</DocSecurity>
  <Lines>550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</Company>
  <LinksUpToDate>false</LinksUpToDate>
  <CharactersWithSpaces>77524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Чичуленков Денис Андреевич</dc:creator>
  <dc:description/>
  <cp:lastModifiedBy>Айрапетян Каринэ Петросовна</cp:lastModifiedBy>
  <cp:revision>7</cp:revision>
  <cp:lastPrinted>2024-12-13T16:32:00Z</cp:lastPrinted>
  <dcterms:created xsi:type="dcterms:W3CDTF">2024-12-18T07:42:00Z</dcterms:created>
  <dcterms:modified xsi:type="dcterms:W3CDTF">2024-12-20T12:58:00Z</dcterms:modified>
  <dc:language>ru-RU</dc:language>
</cp:coreProperties>
</file>